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lang w:eastAsia="zh-CN"/>
        </w:rPr>
        <w:t>晋江</w:t>
      </w:r>
      <w:r>
        <w:rPr>
          <w:rFonts w:hint="eastAsia" w:ascii="宋体" w:hAnsi="宋体" w:eastAsia="宋体" w:cs="宋体"/>
          <w:b/>
          <w:bCs/>
          <w:i w:val="0"/>
          <w:iCs w:val="0"/>
          <w:caps w:val="0"/>
          <w:color w:val="333333"/>
          <w:spacing w:val="0"/>
          <w:sz w:val="44"/>
          <w:szCs w:val="44"/>
          <w:shd w:val="clear" w:fill="FFFFFF"/>
        </w:rPr>
        <w:t>市住房和城乡建设局关于印发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202</w:t>
      </w:r>
      <w:r>
        <w:rPr>
          <w:rFonts w:hint="eastAsia" w:ascii="宋体" w:hAnsi="宋体" w:eastAsia="宋体" w:cs="宋体"/>
          <w:b/>
          <w:bCs/>
          <w:i w:val="0"/>
          <w:iCs w:val="0"/>
          <w:caps w:val="0"/>
          <w:color w:val="333333"/>
          <w:spacing w:val="0"/>
          <w:sz w:val="44"/>
          <w:szCs w:val="44"/>
          <w:shd w:val="clear" w:fill="FFFFFF"/>
          <w:lang w:val="en-US" w:eastAsia="zh-CN"/>
        </w:rPr>
        <w:t>6</w:t>
      </w:r>
      <w:r>
        <w:rPr>
          <w:rFonts w:hint="eastAsia" w:ascii="宋体" w:hAnsi="宋体" w:eastAsia="宋体" w:cs="宋体"/>
          <w:b/>
          <w:bCs/>
          <w:i w:val="0"/>
          <w:iCs w:val="0"/>
          <w:caps w:val="0"/>
          <w:color w:val="333333"/>
          <w:spacing w:val="0"/>
          <w:sz w:val="44"/>
          <w:szCs w:val="44"/>
          <w:shd w:val="clear" w:fill="FFFFFF"/>
        </w:rPr>
        <w:t>年度行政检查计划的通知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局机关各科室、下属事业单位：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为</w:t>
      </w:r>
      <w:r>
        <w:rPr>
          <w:rFonts w:hint="default" w:ascii="Times New Roman" w:hAnsi="Times New Roman" w:eastAsia="仿宋_GB2312" w:cs="Times New Roman"/>
          <w:kern w:val="2"/>
          <w:sz w:val="32"/>
          <w:szCs w:val="32"/>
          <w:lang w:val="en-US" w:eastAsia="zh-CN" w:bidi="ar-SA"/>
        </w:rPr>
        <w:t>严格规范涉企行政检查工作</w:t>
      </w:r>
      <w:r>
        <w:rPr>
          <w:rFonts w:hint="eastAsia" w:ascii="Times New Roman" w:hAnsi="Times New Roman" w:eastAsia="仿宋_GB2312" w:cs="Times New Roman"/>
          <w:kern w:val="2"/>
          <w:sz w:val="32"/>
          <w:szCs w:val="32"/>
          <w:lang w:val="en-US" w:eastAsia="zh-CN" w:bidi="ar-SA"/>
        </w:rPr>
        <w:t>，我局制定了《2026年度行政检查计划》，现予以印发实施，</w:t>
      </w:r>
      <w:r>
        <w:rPr>
          <w:rFonts w:hint="default" w:ascii="Times New Roman" w:hAnsi="Times New Roman" w:eastAsia="仿宋_GB2312" w:cs="Times New Roman"/>
          <w:kern w:val="2"/>
          <w:sz w:val="32"/>
          <w:szCs w:val="32"/>
          <w:lang w:val="en-US" w:eastAsia="zh-CN" w:bidi="ar-SA"/>
        </w:rPr>
        <w:t>请结合工作实际抓好落实。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3840" w:firstLineChars="1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晋江市住房和城乡建设局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Times New Roman" w:hAnsi="Times New Roman" w:eastAsia="仿宋_GB2312" w:cs="Times New Roman"/>
          <w:kern w:val="2"/>
          <w:sz w:val="32"/>
          <w:szCs w:val="32"/>
          <w:lang w:val="en-US" w:eastAsia="zh-CN" w:bidi="ar-SA"/>
        </w:rPr>
        <w:t>　                       　2026年1月21日 </w:t>
      </w:r>
      <w:r>
        <w:rPr>
          <w:rFonts w:hint="eastAsia" w:ascii="宋体" w:hAnsi="宋体" w:eastAsia="宋体" w:cs="宋体"/>
          <w:i w:val="0"/>
          <w:iCs w:val="0"/>
          <w:caps w:val="0"/>
          <w:color w:val="333333"/>
          <w:spacing w:val="0"/>
          <w:sz w:val="24"/>
          <w:szCs w:val="24"/>
          <w:shd w:val="clear" w:fill="FFFFFF"/>
        </w:rPr>
        <w:t> </w:t>
      </w:r>
    </w:p>
    <w:p>
      <w:pPr>
        <w:sectPr>
          <w:pgSz w:w="11906" w:h="16838"/>
          <w:pgMar w:top="1440" w:right="1800" w:bottom="1440" w:left="1800" w:header="851" w:footer="992" w:gutter="0"/>
          <w:cols w:space="425" w:num="1"/>
          <w:docGrid w:type="lines" w:linePitch="312" w:charSpace="0"/>
        </w:sectPr>
      </w:pPr>
    </w:p>
    <w:tbl>
      <w:tblPr>
        <w:tblStyle w:val="3"/>
        <w:tblW w:w="14801" w:type="dxa"/>
        <w:tblInd w:w="93" w:type="dxa"/>
        <w:tblLayout w:type="fixed"/>
        <w:tblCellMar>
          <w:top w:w="0" w:type="dxa"/>
          <w:left w:w="108" w:type="dxa"/>
          <w:bottom w:w="0" w:type="dxa"/>
          <w:right w:w="108" w:type="dxa"/>
        </w:tblCellMar>
      </w:tblPr>
      <w:tblGrid>
        <w:gridCol w:w="392"/>
        <w:gridCol w:w="1483"/>
        <w:gridCol w:w="1584"/>
        <w:gridCol w:w="1266"/>
        <w:gridCol w:w="2395"/>
        <w:gridCol w:w="2850"/>
        <w:gridCol w:w="1683"/>
        <w:gridCol w:w="1433"/>
        <w:gridCol w:w="1089"/>
        <w:gridCol w:w="626"/>
      </w:tblGrid>
      <w:tr>
        <w:tblPrEx>
          <w:tblLayout w:type="fixed"/>
          <w:tblCellMar>
            <w:top w:w="0" w:type="dxa"/>
            <w:left w:w="108" w:type="dxa"/>
            <w:bottom w:w="0" w:type="dxa"/>
            <w:right w:w="108" w:type="dxa"/>
          </w:tblCellMar>
        </w:tblPrEx>
        <w:trPr>
          <w:trHeight w:val="762" w:hRule="atLeast"/>
        </w:trPr>
        <w:tc>
          <w:tcPr>
            <w:tcW w:w="14801" w:type="dxa"/>
            <w:gridSpan w:val="10"/>
            <w:tcBorders>
              <w:top w:val="nil"/>
              <w:left w:val="nil"/>
              <w:bottom w:val="single" w:color="auto" w:sz="4" w:space="0"/>
              <w:right w:val="nil"/>
            </w:tcBorders>
            <w:noWrap/>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p>
          <w:p>
            <w:pPr>
              <w:widowControl/>
              <w:jc w:val="center"/>
              <w:rPr>
                <w:rFonts w:hint="eastAsia" w:ascii="Times New Roman" w:hAnsi="Times New Roman" w:eastAsia="方正小标宋简体"/>
                <w:kern w:val="0"/>
                <w:sz w:val="36"/>
                <w:szCs w:val="36"/>
                <w:lang w:val="en-US" w:eastAsia="zh-CN"/>
              </w:rPr>
            </w:pPr>
            <w:r>
              <w:rPr>
                <w:rFonts w:hint="eastAsia" w:ascii="Times New Roman" w:hAnsi="Times New Roman" w:eastAsia="方正小标宋简体"/>
                <w:kern w:val="0"/>
                <w:sz w:val="36"/>
                <w:szCs w:val="36"/>
                <w:lang w:val="en-US" w:eastAsia="zh-CN"/>
              </w:rPr>
              <w:t>2026年度行政检查计划</w:t>
            </w:r>
          </w:p>
          <w:p>
            <w:pPr>
              <w:widowControl/>
              <w:jc w:val="left"/>
              <w:rPr>
                <w:rFonts w:hint="default" w:ascii="Times New Roman" w:hAnsi="Times New Roman" w:eastAsia="方正小标宋简体"/>
                <w:kern w:val="0"/>
                <w:sz w:val="36"/>
                <w:szCs w:val="36"/>
                <w:lang w:val="en-US" w:eastAsia="zh-CN"/>
              </w:rPr>
            </w:pPr>
            <w:r>
              <w:rPr>
                <w:rFonts w:hint="eastAsia" w:ascii="Times New Roman" w:hAnsi="Times New Roman" w:eastAsia="仿宋_GB2312" w:cs="Times New Roman"/>
                <w:kern w:val="2"/>
                <w:sz w:val="32"/>
                <w:szCs w:val="32"/>
                <w:lang w:val="en-US" w:eastAsia="zh-CN" w:bidi="ar-SA"/>
              </w:rPr>
              <w:t>单位：晋江市住房和城乡建设局</w:t>
            </w:r>
          </w:p>
        </w:tc>
      </w:tr>
      <w:tr>
        <w:tblPrEx>
          <w:tblLayout w:type="fixed"/>
          <w:tblCellMar>
            <w:top w:w="0" w:type="dxa"/>
            <w:left w:w="108" w:type="dxa"/>
            <w:bottom w:w="0" w:type="dxa"/>
            <w:right w:w="108" w:type="dxa"/>
          </w:tblCellMar>
        </w:tblPrEx>
        <w:trPr>
          <w:trHeight w:val="1441" w:hRule="atLeast"/>
        </w:trPr>
        <w:tc>
          <w:tcPr>
            <w:tcW w:w="392"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 w:cs="Times New Roman"/>
                <w:b/>
                <w:bCs/>
                <w:kern w:val="0"/>
                <w:sz w:val="24"/>
                <w:szCs w:val="24"/>
              </w:rPr>
            </w:pPr>
            <w:r>
              <w:rPr>
                <w:rFonts w:ascii="Times New Roman" w:hAnsi="Times New Roman" w:eastAsia="仿宋"/>
                <w:b/>
                <w:bCs/>
                <w:kern w:val="0"/>
                <w:sz w:val="24"/>
                <w:szCs w:val="24"/>
              </w:rPr>
              <w:t>序号</w:t>
            </w:r>
          </w:p>
        </w:tc>
        <w:tc>
          <w:tcPr>
            <w:tcW w:w="1483"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 w:cs="Times New Roman"/>
                <w:b/>
                <w:bCs/>
                <w:kern w:val="0"/>
                <w:sz w:val="24"/>
                <w:szCs w:val="24"/>
              </w:rPr>
            </w:pPr>
            <w:r>
              <w:rPr>
                <w:rFonts w:hint="eastAsia" w:ascii="Times New Roman" w:hAnsi="Times New Roman" w:eastAsia="仿宋"/>
                <w:b/>
                <w:bCs/>
                <w:kern w:val="0"/>
                <w:sz w:val="24"/>
                <w:szCs w:val="24"/>
                <w:lang w:eastAsia="zh-CN"/>
              </w:rPr>
              <w:t>检查</w:t>
            </w:r>
            <w:r>
              <w:rPr>
                <w:rFonts w:ascii="Times New Roman" w:hAnsi="Times New Roman" w:eastAsia="仿宋"/>
                <w:b/>
                <w:bCs/>
                <w:kern w:val="0"/>
                <w:sz w:val="24"/>
                <w:szCs w:val="24"/>
              </w:rPr>
              <w:t>事项</w:t>
            </w:r>
          </w:p>
        </w:tc>
        <w:tc>
          <w:tcPr>
            <w:tcW w:w="1584"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 w:cs="Times New Roman"/>
                <w:b/>
                <w:bCs/>
                <w:kern w:val="0"/>
                <w:sz w:val="24"/>
                <w:szCs w:val="24"/>
              </w:rPr>
            </w:pPr>
            <w:r>
              <w:rPr>
                <w:rFonts w:ascii="Times New Roman" w:hAnsi="Times New Roman" w:eastAsia="仿宋"/>
                <w:b/>
                <w:bCs/>
                <w:kern w:val="0"/>
                <w:sz w:val="24"/>
                <w:szCs w:val="24"/>
              </w:rPr>
              <w:t>检查对象</w:t>
            </w:r>
          </w:p>
        </w:tc>
        <w:tc>
          <w:tcPr>
            <w:tcW w:w="126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Times New Roman" w:hAnsi="Times New Roman" w:eastAsia="仿宋" w:cs="Times New Roman"/>
                <w:b/>
                <w:bCs/>
                <w:kern w:val="0"/>
                <w:sz w:val="24"/>
                <w:szCs w:val="24"/>
                <w:lang w:eastAsia="zh-CN"/>
              </w:rPr>
            </w:pPr>
            <w:r>
              <w:rPr>
                <w:rFonts w:hint="eastAsia" w:ascii="Times New Roman" w:hAnsi="Times New Roman" w:eastAsia="仿宋"/>
                <w:b/>
                <w:bCs/>
                <w:kern w:val="0"/>
                <w:sz w:val="24"/>
                <w:szCs w:val="24"/>
                <w:lang w:eastAsia="zh-CN"/>
              </w:rPr>
              <w:t>检查数量（家）或</w:t>
            </w:r>
            <w:r>
              <w:rPr>
                <w:rFonts w:ascii="Times New Roman" w:hAnsi="Times New Roman" w:eastAsia="仿宋"/>
                <w:b/>
                <w:bCs/>
                <w:kern w:val="0"/>
                <w:sz w:val="24"/>
                <w:szCs w:val="24"/>
              </w:rPr>
              <w:t>比例</w:t>
            </w:r>
            <w:r>
              <w:rPr>
                <w:rFonts w:hint="eastAsia" w:ascii="Times New Roman" w:hAnsi="Times New Roman" w:eastAsia="仿宋"/>
                <w:b/>
                <w:bCs/>
                <w:kern w:val="0"/>
                <w:sz w:val="24"/>
                <w:szCs w:val="24"/>
                <w:lang w:eastAsia="zh-CN"/>
              </w:rPr>
              <w:t>（</w:t>
            </w:r>
            <w:r>
              <w:rPr>
                <w:rFonts w:hint="eastAsia" w:ascii="Times New Roman" w:hAnsi="Times New Roman" w:eastAsia="仿宋"/>
                <w:b/>
                <w:bCs/>
                <w:kern w:val="0"/>
                <w:sz w:val="24"/>
                <w:szCs w:val="24"/>
                <w:lang w:val="en-US" w:eastAsia="zh-CN"/>
              </w:rPr>
              <w:t>%</w:t>
            </w:r>
            <w:r>
              <w:rPr>
                <w:rFonts w:hint="eastAsia" w:ascii="Times New Roman" w:hAnsi="Times New Roman" w:eastAsia="仿宋"/>
                <w:b/>
                <w:bCs/>
                <w:kern w:val="0"/>
                <w:sz w:val="24"/>
                <w:szCs w:val="24"/>
                <w:lang w:eastAsia="zh-CN"/>
              </w:rPr>
              <w:t>）</w:t>
            </w:r>
          </w:p>
        </w:tc>
        <w:tc>
          <w:tcPr>
            <w:tcW w:w="239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Times New Roman" w:hAnsi="Times New Roman" w:eastAsia="仿宋" w:cs="Times New Roman"/>
                <w:b/>
                <w:bCs/>
                <w:kern w:val="0"/>
                <w:sz w:val="24"/>
                <w:szCs w:val="24"/>
                <w:lang w:eastAsia="zh-CN"/>
              </w:rPr>
            </w:pPr>
            <w:r>
              <w:rPr>
                <w:rFonts w:ascii="Times New Roman" w:hAnsi="Times New Roman" w:eastAsia="仿宋"/>
                <w:b/>
                <w:bCs/>
                <w:kern w:val="0"/>
                <w:sz w:val="24"/>
                <w:szCs w:val="24"/>
              </w:rPr>
              <w:t>检查内容</w:t>
            </w:r>
          </w:p>
        </w:tc>
        <w:tc>
          <w:tcPr>
            <w:tcW w:w="2850" w:type="dxa"/>
            <w:tcBorders>
              <w:top w:val="nil"/>
              <w:left w:val="nil"/>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b/>
                <w:bCs/>
                <w:kern w:val="0"/>
                <w:sz w:val="24"/>
                <w:szCs w:val="24"/>
                <w:lang w:eastAsia="zh-CN"/>
              </w:rPr>
            </w:pPr>
            <w:r>
              <w:rPr>
                <w:rFonts w:hint="eastAsia" w:ascii="Times New Roman" w:hAnsi="Times New Roman" w:eastAsia="仿宋"/>
                <w:b/>
                <w:bCs/>
                <w:kern w:val="0"/>
                <w:sz w:val="24"/>
                <w:szCs w:val="24"/>
                <w:lang w:eastAsia="zh-CN"/>
              </w:rPr>
              <w:t>检查</w:t>
            </w:r>
            <w:r>
              <w:rPr>
                <w:rFonts w:ascii="Times New Roman" w:hAnsi="Times New Roman" w:eastAsia="仿宋"/>
                <w:b/>
                <w:bCs/>
                <w:kern w:val="0"/>
                <w:sz w:val="24"/>
                <w:szCs w:val="24"/>
              </w:rPr>
              <w:t>依据</w:t>
            </w:r>
          </w:p>
        </w:tc>
        <w:tc>
          <w:tcPr>
            <w:tcW w:w="1683"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 w:cs="Times New Roman"/>
                <w:b/>
                <w:bCs/>
                <w:kern w:val="0"/>
                <w:sz w:val="24"/>
                <w:szCs w:val="24"/>
              </w:rPr>
            </w:pPr>
            <w:r>
              <w:rPr>
                <w:rFonts w:hint="eastAsia" w:ascii="Times New Roman" w:hAnsi="Times New Roman" w:eastAsia="仿宋"/>
                <w:b/>
                <w:bCs/>
                <w:kern w:val="0"/>
                <w:sz w:val="24"/>
                <w:szCs w:val="24"/>
                <w:lang w:eastAsia="zh-CN"/>
              </w:rPr>
              <w:t>预计执法</w:t>
            </w:r>
            <w:r>
              <w:rPr>
                <w:rFonts w:ascii="Times New Roman" w:hAnsi="Times New Roman" w:eastAsia="仿宋"/>
                <w:b/>
                <w:bCs/>
                <w:kern w:val="0"/>
                <w:sz w:val="24"/>
                <w:szCs w:val="24"/>
              </w:rPr>
              <w:t>检查人员数</w:t>
            </w:r>
            <w:r>
              <w:rPr>
                <w:rFonts w:hint="eastAsia" w:ascii="Times New Roman" w:hAnsi="Times New Roman" w:eastAsia="仿宋"/>
                <w:b/>
                <w:bCs/>
                <w:kern w:val="0"/>
                <w:sz w:val="24"/>
                <w:szCs w:val="24"/>
                <w:lang w:eastAsia="zh-CN"/>
              </w:rPr>
              <w:t>（名）</w:t>
            </w:r>
          </w:p>
        </w:tc>
        <w:tc>
          <w:tcPr>
            <w:tcW w:w="14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 w:cs="Times New Roman"/>
                <w:b/>
                <w:bCs/>
                <w:kern w:val="0"/>
                <w:sz w:val="24"/>
                <w:szCs w:val="24"/>
                <w:lang w:eastAsia="zh-CN"/>
              </w:rPr>
            </w:pPr>
            <w:r>
              <w:rPr>
                <w:rFonts w:ascii="Times New Roman" w:hAnsi="Times New Roman" w:eastAsia="仿宋"/>
                <w:b/>
                <w:bCs/>
                <w:kern w:val="0"/>
                <w:sz w:val="24"/>
                <w:szCs w:val="24"/>
              </w:rPr>
              <w:t>计划</w:t>
            </w:r>
            <w:r>
              <w:rPr>
                <w:rFonts w:hint="eastAsia" w:ascii="Times New Roman" w:hAnsi="Times New Roman" w:eastAsia="仿宋"/>
                <w:b/>
                <w:bCs/>
                <w:kern w:val="0"/>
                <w:sz w:val="24"/>
                <w:szCs w:val="24"/>
                <w:lang w:eastAsia="zh-CN"/>
              </w:rPr>
              <w:t>检查月份或季度</w:t>
            </w:r>
          </w:p>
        </w:tc>
        <w:tc>
          <w:tcPr>
            <w:tcW w:w="1089"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 w:cs="Times New Roman"/>
                <w:b/>
                <w:bCs/>
                <w:kern w:val="0"/>
                <w:sz w:val="24"/>
                <w:szCs w:val="24"/>
              </w:rPr>
            </w:pPr>
            <w:r>
              <w:rPr>
                <w:rFonts w:ascii="Times New Roman" w:hAnsi="Times New Roman" w:eastAsia="仿宋"/>
                <w:b/>
                <w:bCs/>
                <w:kern w:val="0"/>
                <w:sz w:val="24"/>
                <w:szCs w:val="24"/>
              </w:rPr>
              <w:t>责任科室</w:t>
            </w:r>
            <w:r>
              <w:rPr>
                <w:rFonts w:hint="eastAsia" w:ascii="Times New Roman" w:hAnsi="Times New Roman" w:eastAsia="仿宋"/>
                <w:b/>
                <w:bCs/>
                <w:kern w:val="0"/>
                <w:sz w:val="24"/>
                <w:szCs w:val="24"/>
                <w:lang w:eastAsia="zh-CN"/>
              </w:rPr>
              <w:t>、</w:t>
            </w:r>
            <w:r>
              <w:rPr>
                <w:rFonts w:ascii="Times New Roman" w:hAnsi="Times New Roman" w:eastAsia="仿宋"/>
                <w:b/>
                <w:bCs/>
                <w:kern w:val="0"/>
                <w:sz w:val="24"/>
                <w:szCs w:val="24"/>
              </w:rPr>
              <w:t>单位</w:t>
            </w:r>
          </w:p>
        </w:tc>
        <w:tc>
          <w:tcPr>
            <w:tcW w:w="626"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仿宋" w:cs="Times New Roman"/>
                <w:b/>
                <w:bCs/>
                <w:kern w:val="0"/>
                <w:sz w:val="24"/>
                <w:szCs w:val="24"/>
              </w:rPr>
            </w:pPr>
            <w:r>
              <w:rPr>
                <w:rFonts w:ascii="Times New Roman" w:hAnsi="Times New Roman" w:eastAsia="仿宋"/>
                <w:b/>
                <w:bCs/>
                <w:kern w:val="0"/>
                <w:sz w:val="24"/>
                <w:szCs w:val="24"/>
              </w:rPr>
              <w:t>备注</w:t>
            </w:r>
          </w:p>
        </w:tc>
      </w:tr>
      <w:tr>
        <w:tblPrEx>
          <w:tblLayout w:type="fixed"/>
          <w:tblCellMar>
            <w:top w:w="0" w:type="dxa"/>
            <w:left w:w="108" w:type="dxa"/>
            <w:bottom w:w="0" w:type="dxa"/>
            <w:right w:w="108" w:type="dxa"/>
          </w:tblCellMar>
        </w:tblPrEx>
        <w:trPr>
          <w:trHeight w:val="1339" w:hRule="atLeast"/>
        </w:trPr>
        <w:tc>
          <w:tcPr>
            <w:tcW w:w="39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1</w:t>
            </w:r>
          </w:p>
        </w:tc>
        <w:tc>
          <w:tcPr>
            <w:tcW w:w="148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eastAsia="zh-CN"/>
              </w:rPr>
              <w:t>勘察设计质量检查</w:t>
            </w:r>
          </w:p>
        </w:tc>
        <w:tc>
          <w:tcPr>
            <w:tcW w:w="158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eastAsia="zh-CN"/>
              </w:rPr>
              <w:t>施工图审查机构、勘察企业、设计企业</w:t>
            </w:r>
          </w:p>
        </w:tc>
        <w:tc>
          <w:tcPr>
            <w:tcW w:w="126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highlight w:val="none"/>
                <w:lang w:val="en-US" w:eastAsia="zh-CN"/>
              </w:rPr>
              <w:t>10%</w:t>
            </w:r>
          </w:p>
        </w:tc>
        <w:tc>
          <w:tcPr>
            <w:tcW w:w="2395"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仿宋_GB2312"/>
                <w:kern w:val="0"/>
                <w:szCs w:val="21"/>
                <w:lang w:val="en-US" w:eastAsia="zh-CN"/>
              </w:rPr>
            </w:pPr>
            <w:r>
              <w:rPr>
                <w:rFonts w:hint="default" w:ascii="Times New Roman" w:hAnsi="Times New Roman" w:eastAsia="仿宋_GB2312"/>
                <w:kern w:val="0"/>
                <w:szCs w:val="21"/>
                <w:lang w:eastAsia="zh-CN"/>
              </w:rPr>
              <w:t>勘察设计文件执行强制性标准、建筑节能、绿色建筑情况。</w:t>
            </w:r>
          </w:p>
        </w:tc>
        <w:tc>
          <w:tcPr>
            <w:tcW w:w="28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default" w:ascii="Times New Roman" w:hAnsi="Times New Roman" w:eastAsia="仿宋_GB2312"/>
                <w:kern w:val="0"/>
                <w:szCs w:val="21"/>
                <w:lang w:val="en-US" w:eastAsia="zh-CN"/>
              </w:rPr>
            </w:pPr>
            <w:r>
              <w:rPr>
                <w:rFonts w:hint="default" w:ascii="Times New Roman" w:hAnsi="Times New Roman" w:eastAsia="仿宋_GB2312"/>
                <w:kern w:val="0"/>
                <w:szCs w:val="21"/>
                <w:lang w:eastAsia="zh-CN"/>
              </w:rPr>
              <w:t>《建筑法》、《建设工程勘察设计管理条例》、《民用建筑节能条例》、《建设工程勘察质量管理办法》、《房屋建筑工程抗震设防管理规定》、《房屋建筑和市政基础设施工程施工图设计文件审查管理办法》</w:t>
            </w:r>
          </w:p>
        </w:tc>
        <w:tc>
          <w:tcPr>
            <w:tcW w:w="168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2名/日</w:t>
            </w:r>
          </w:p>
        </w:tc>
        <w:tc>
          <w:tcPr>
            <w:tcW w:w="143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val="en-US" w:eastAsia="zh-CN"/>
              </w:rPr>
              <w:t>全年2次，不定期开展</w:t>
            </w:r>
          </w:p>
        </w:tc>
        <w:tc>
          <w:tcPr>
            <w:tcW w:w="108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eastAsia="zh-CN"/>
              </w:rPr>
              <w:t>建筑管理科</w:t>
            </w: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r>
        <w:tblPrEx>
          <w:tblLayout w:type="fixed"/>
          <w:tblCellMar>
            <w:top w:w="0" w:type="dxa"/>
            <w:left w:w="108" w:type="dxa"/>
            <w:bottom w:w="0" w:type="dxa"/>
            <w:right w:w="108" w:type="dxa"/>
          </w:tblCellMar>
        </w:tblPrEx>
        <w:trPr>
          <w:trHeight w:val="1298" w:hRule="atLeast"/>
        </w:trPr>
        <w:tc>
          <w:tcPr>
            <w:tcW w:w="39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2</w:t>
            </w:r>
          </w:p>
        </w:tc>
        <w:tc>
          <w:tcPr>
            <w:tcW w:w="148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val="en-US" w:eastAsia="zh-CN"/>
              </w:rPr>
              <w:t>建筑市场行为监督检查</w:t>
            </w:r>
          </w:p>
        </w:tc>
        <w:tc>
          <w:tcPr>
            <w:tcW w:w="158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建设单位、施工单位、监理单位</w:t>
            </w:r>
          </w:p>
        </w:tc>
        <w:tc>
          <w:tcPr>
            <w:tcW w:w="126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5%</w:t>
            </w:r>
          </w:p>
        </w:tc>
        <w:tc>
          <w:tcPr>
            <w:tcW w:w="2395" w:type="dxa"/>
            <w:tcBorders>
              <w:top w:val="nil"/>
              <w:left w:val="nil"/>
              <w:bottom w:val="single" w:color="auto" w:sz="4" w:space="0"/>
              <w:right w:val="single" w:color="auto" w:sz="4" w:space="0"/>
            </w:tcBorders>
            <w:noWrap/>
            <w:vAlign w:val="center"/>
          </w:tcPr>
          <w:p>
            <w:pPr>
              <w:widowControl/>
              <w:spacing w:line="240" w:lineRule="exact"/>
              <w:jc w:val="left"/>
              <w:rPr>
                <w:rFonts w:hint="eastAsia" w:ascii="Times New Roman" w:hAnsi="Times New Roman" w:eastAsia="仿宋_GB2312"/>
                <w:kern w:val="0"/>
                <w:szCs w:val="21"/>
                <w:lang w:val="en-US" w:eastAsia="zh-CN"/>
              </w:rPr>
            </w:pPr>
            <w:r>
              <w:rPr>
                <w:rFonts w:hint="default" w:ascii="Times New Roman" w:hAnsi="Times New Roman" w:eastAsia="仿宋_GB2312"/>
                <w:kern w:val="0"/>
                <w:szCs w:val="21"/>
                <w:lang w:val="en-US" w:eastAsia="zh-CN"/>
              </w:rPr>
              <w:t>包括但不限于</w:t>
            </w:r>
            <w:r>
              <w:rPr>
                <w:rFonts w:hint="eastAsia" w:ascii="Times New Roman" w:hAnsi="Times New Roman" w:eastAsia="仿宋_GB2312"/>
                <w:kern w:val="0"/>
                <w:szCs w:val="21"/>
                <w:lang w:val="en-US" w:eastAsia="zh-CN"/>
              </w:rPr>
              <w:t>：</w:t>
            </w:r>
            <w:r>
              <w:rPr>
                <w:rFonts w:hint="default" w:ascii="Times New Roman" w:hAnsi="Times New Roman" w:eastAsia="仿宋_GB2312"/>
                <w:kern w:val="0"/>
                <w:szCs w:val="21"/>
                <w:lang w:val="en-US" w:eastAsia="zh-CN"/>
              </w:rPr>
              <w:t>建设单位是否违规收取各类保证金，是否按规定提供工程款支付担保，是否存在违法发包，是否存在拖欠工程款及勘察、设计、监理费用行为，是否依法办理施工图审查、施工许可；监理单位是否存在转 包、违法分包、挂靠、出借资质、超越资质承接业务等违法行为</w:t>
            </w:r>
            <w:r>
              <w:rPr>
                <w:rFonts w:hint="eastAsia" w:ascii="Times New Roman" w:hAnsi="Times New Roman" w:eastAsia="仿宋_GB2312"/>
                <w:kern w:val="0"/>
                <w:szCs w:val="21"/>
                <w:lang w:val="en-US" w:eastAsia="zh-CN"/>
              </w:rPr>
              <w:t>；</w:t>
            </w:r>
            <w:r>
              <w:rPr>
                <w:rFonts w:hint="default" w:ascii="Times New Roman" w:hAnsi="Times New Roman" w:eastAsia="仿宋_GB2312"/>
                <w:kern w:val="0"/>
                <w:szCs w:val="21"/>
                <w:lang w:val="en-US" w:eastAsia="zh-CN"/>
              </w:rPr>
              <w:t>施工单位是否按规定实施劳务实名制信息化管理， 是否通过农民工工资专用账户按时足额发放工资</w:t>
            </w:r>
            <w:r>
              <w:rPr>
                <w:rFonts w:hint="eastAsia" w:ascii="Times New Roman" w:hAnsi="Times New Roman" w:eastAsia="仿宋_GB2312"/>
                <w:kern w:val="0"/>
                <w:szCs w:val="21"/>
                <w:lang w:val="en-US" w:eastAsia="zh-CN"/>
              </w:rPr>
              <w:t>。</w:t>
            </w:r>
          </w:p>
          <w:p>
            <w:pPr>
              <w:widowControl/>
              <w:spacing w:line="240" w:lineRule="exact"/>
              <w:jc w:val="left"/>
              <w:rPr>
                <w:rFonts w:hint="default" w:ascii="Times New Roman" w:hAnsi="Times New Roman" w:eastAsia="仿宋_GB2312"/>
                <w:kern w:val="0"/>
                <w:szCs w:val="21"/>
                <w:lang w:val="en-US" w:eastAsia="zh-CN"/>
              </w:rPr>
            </w:pPr>
          </w:p>
          <w:p>
            <w:pPr>
              <w:widowControl/>
              <w:spacing w:line="240" w:lineRule="exact"/>
              <w:jc w:val="left"/>
              <w:rPr>
                <w:rFonts w:hint="default" w:ascii="Times New Roman" w:hAnsi="Times New Roman" w:eastAsia="仿宋_GB2312"/>
                <w:kern w:val="0"/>
                <w:szCs w:val="21"/>
                <w:lang w:eastAsia="zh-CN"/>
              </w:rPr>
            </w:pPr>
          </w:p>
          <w:p>
            <w:pPr>
              <w:widowControl/>
              <w:spacing w:line="240" w:lineRule="exact"/>
              <w:jc w:val="left"/>
              <w:rPr>
                <w:rFonts w:hint="default" w:ascii="Times New Roman" w:hAnsi="Times New Roman" w:eastAsia="仿宋_GB2312"/>
                <w:kern w:val="0"/>
                <w:szCs w:val="21"/>
                <w:lang w:eastAsia="zh-CN"/>
              </w:rPr>
            </w:pPr>
          </w:p>
        </w:tc>
        <w:tc>
          <w:tcPr>
            <w:tcW w:w="2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建筑法》、《建设工程质量管理条例》、《福建省房屋建筑和市政基础设施工程建筑市场行为监督检查办法》、《福建省建筑施工企业合同履约行为评价细则》、《建筑工程施工发包与承包违法行为认定查处管理办法》、《泉州市住房和城乡建设局关于印发</w:t>
            </w:r>
            <w:r>
              <w:rPr>
                <w:rFonts w:hint="eastAsia" w:ascii="Times New Roman" w:hAnsi="Times New Roman" w:eastAsia="仿宋_GB2312"/>
                <w:kern w:val="0"/>
                <w:szCs w:val="21"/>
                <w:lang w:val="en-US" w:eastAsia="zh-CN"/>
              </w:rPr>
              <w:t>&lt;</w:t>
            </w:r>
            <w:r>
              <w:rPr>
                <w:rFonts w:hint="eastAsia" w:ascii="Times New Roman" w:hAnsi="Times New Roman" w:eastAsia="仿宋_GB2312"/>
                <w:kern w:val="0"/>
                <w:szCs w:val="21"/>
                <w:lang w:eastAsia="zh-CN"/>
              </w:rPr>
              <w:t>泉州市住房城乡建设局推广“双随机”抽查机制工作方案</w:t>
            </w:r>
            <w:r>
              <w:rPr>
                <w:rFonts w:hint="eastAsia" w:ascii="Times New Roman" w:hAnsi="Times New Roman" w:eastAsia="仿宋_GB2312"/>
                <w:kern w:val="0"/>
                <w:szCs w:val="21"/>
                <w:lang w:val="en-US" w:eastAsia="zh-CN"/>
              </w:rPr>
              <w:t>&gt;</w:t>
            </w:r>
            <w:r>
              <w:rPr>
                <w:rFonts w:hint="eastAsia" w:ascii="Times New Roman" w:hAnsi="Times New Roman" w:eastAsia="仿宋_GB2312"/>
                <w:kern w:val="0"/>
                <w:szCs w:val="21"/>
                <w:lang w:eastAsia="zh-CN"/>
              </w:rPr>
              <w:t>的通知》</w:t>
            </w:r>
          </w:p>
          <w:p>
            <w:pPr>
              <w:widowControl/>
              <w:spacing w:line="240" w:lineRule="exact"/>
              <w:jc w:val="left"/>
              <w:rPr>
                <w:rFonts w:hint="default" w:ascii="Times New Roman" w:hAnsi="Times New Roman" w:eastAsia="仿宋_GB2312"/>
                <w:kern w:val="0"/>
                <w:szCs w:val="21"/>
                <w:lang w:eastAsia="zh-CN"/>
              </w:rPr>
            </w:pPr>
          </w:p>
        </w:tc>
        <w:tc>
          <w:tcPr>
            <w:tcW w:w="16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2名/日</w:t>
            </w:r>
          </w:p>
        </w:tc>
        <w:tc>
          <w:tcPr>
            <w:tcW w:w="143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val="en-US" w:eastAsia="zh-CN"/>
              </w:rPr>
              <w:t>全年2次，不定期开展</w:t>
            </w:r>
          </w:p>
        </w:tc>
        <w:tc>
          <w:tcPr>
            <w:tcW w:w="108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default" w:ascii="Times New Roman" w:hAnsi="Times New Roman" w:eastAsia="仿宋_GB2312"/>
                <w:kern w:val="0"/>
                <w:szCs w:val="21"/>
                <w:lang w:eastAsia="zh-CN"/>
              </w:rPr>
              <w:t>建筑管理科</w:t>
            </w: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sz w:val="21"/>
                <w:szCs w:val="21"/>
                <w:highlight w:val="yellow"/>
              </w:rPr>
            </w:pPr>
          </w:p>
        </w:tc>
      </w:tr>
      <w:tr>
        <w:tblPrEx>
          <w:tblLayout w:type="fixed"/>
          <w:tblCellMar>
            <w:top w:w="0" w:type="dxa"/>
            <w:left w:w="108" w:type="dxa"/>
            <w:bottom w:w="0" w:type="dxa"/>
            <w:right w:w="108" w:type="dxa"/>
          </w:tblCellMar>
        </w:tblPrEx>
        <w:trPr>
          <w:trHeight w:val="1374" w:hRule="atLeast"/>
        </w:trPr>
        <w:tc>
          <w:tcPr>
            <w:tcW w:w="3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3</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在建房屋市政工程质量安全检查</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全市受监在建房屋建筑市政工程</w:t>
            </w:r>
            <w:r>
              <w:rPr>
                <w:rFonts w:hint="eastAsia" w:ascii="Times New Roman" w:hAnsi="Times New Roman" w:eastAsia="仿宋_GB2312"/>
                <w:kern w:val="0"/>
                <w:szCs w:val="21"/>
                <w:lang w:val="en-US" w:eastAsia="zh-CN"/>
              </w:rPr>
              <w:t>建设、</w:t>
            </w:r>
            <w:r>
              <w:rPr>
                <w:rFonts w:hint="eastAsia" w:ascii="Times New Roman" w:hAnsi="Times New Roman" w:eastAsia="仿宋_GB2312"/>
                <w:kern w:val="0"/>
                <w:szCs w:val="21"/>
                <w:lang w:eastAsia="zh-CN"/>
              </w:rPr>
              <w:t>施工、监理</w:t>
            </w:r>
            <w:r>
              <w:rPr>
                <w:rFonts w:hint="eastAsia" w:ascii="Times New Roman" w:hAnsi="Times New Roman" w:eastAsia="仿宋_GB2312"/>
                <w:kern w:val="0"/>
                <w:szCs w:val="21"/>
                <w:lang w:val="en-US" w:eastAsia="zh-CN"/>
              </w:rPr>
              <w:t>等参建单位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100%</w:t>
            </w:r>
          </w:p>
        </w:tc>
        <w:tc>
          <w:tcPr>
            <w:tcW w:w="23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eastAsia="zh-CN"/>
              </w:rPr>
              <w:t>对</w:t>
            </w:r>
            <w:r>
              <w:rPr>
                <w:rFonts w:hint="eastAsia" w:ascii="Times New Roman" w:hAnsi="Times New Roman" w:eastAsia="仿宋_GB2312"/>
                <w:kern w:val="0"/>
                <w:szCs w:val="21"/>
                <w:lang w:val="en-US" w:eastAsia="zh-CN"/>
              </w:rPr>
              <w:t>在建</w:t>
            </w:r>
            <w:r>
              <w:rPr>
                <w:rFonts w:hint="eastAsia" w:ascii="Times New Roman" w:hAnsi="Times New Roman" w:eastAsia="仿宋_GB2312"/>
                <w:kern w:val="0"/>
                <w:szCs w:val="21"/>
                <w:lang w:eastAsia="zh-CN"/>
              </w:rPr>
              <w:t>工程</w:t>
            </w:r>
            <w:r>
              <w:rPr>
                <w:rFonts w:hint="eastAsia" w:ascii="Times New Roman" w:hAnsi="Times New Roman" w:eastAsia="仿宋_GB2312"/>
                <w:kern w:val="0"/>
                <w:szCs w:val="21"/>
                <w:lang w:val="en-US" w:eastAsia="zh-CN"/>
              </w:rPr>
              <w:t>施工质量安全，以及参建单位是否履行</w:t>
            </w:r>
            <w:r>
              <w:rPr>
                <w:rFonts w:hint="eastAsia" w:ascii="Times New Roman" w:hAnsi="Times New Roman" w:eastAsia="仿宋_GB2312"/>
                <w:kern w:val="0"/>
                <w:szCs w:val="21"/>
                <w:lang w:eastAsia="zh-CN"/>
              </w:rPr>
              <w:t>质量安全职责、</w:t>
            </w:r>
            <w:r>
              <w:rPr>
                <w:rFonts w:hint="eastAsia" w:ascii="Times New Roman" w:hAnsi="Times New Roman" w:eastAsia="仿宋_GB2312"/>
                <w:kern w:val="0"/>
                <w:szCs w:val="21"/>
                <w:lang w:val="en-US" w:eastAsia="zh-CN"/>
              </w:rPr>
              <w:t>是否</w:t>
            </w:r>
            <w:r>
              <w:rPr>
                <w:rFonts w:hint="eastAsia" w:ascii="Times New Roman" w:hAnsi="Times New Roman" w:eastAsia="仿宋_GB2312"/>
                <w:kern w:val="0"/>
                <w:szCs w:val="21"/>
                <w:lang w:eastAsia="zh-CN"/>
              </w:rPr>
              <w:t>执行法律、法规及工程建设强制性标准等</w:t>
            </w:r>
            <w:r>
              <w:rPr>
                <w:rFonts w:hint="eastAsia" w:ascii="Times New Roman" w:hAnsi="Times New Roman" w:eastAsia="仿宋_GB2312"/>
                <w:kern w:val="0"/>
                <w:szCs w:val="21"/>
                <w:lang w:val="en-US" w:eastAsia="zh-CN"/>
              </w:rPr>
              <w:t>进行监督检查</w:t>
            </w:r>
            <w:r>
              <w:rPr>
                <w:rFonts w:hint="eastAsia" w:ascii="Times New Roman" w:hAnsi="Times New Roman" w:eastAsia="仿宋_GB2312"/>
                <w:kern w:val="0"/>
                <w:szCs w:val="21"/>
                <w:lang w:eastAsia="zh-CN"/>
              </w:rPr>
              <w:t>。</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w:t>
            </w:r>
            <w:r>
              <w:rPr>
                <w:rFonts w:hint="eastAsia" w:ascii="Times New Roman" w:hAnsi="Times New Roman" w:eastAsia="仿宋_GB2312"/>
                <w:kern w:val="0"/>
                <w:szCs w:val="21"/>
                <w:lang w:val="en-US" w:eastAsia="zh-CN"/>
              </w:rPr>
              <w:t>建筑法</w:t>
            </w:r>
            <w:r>
              <w:rPr>
                <w:rFonts w:hint="eastAsia" w:ascii="Times New Roman" w:hAnsi="Times New Roman" w:eastAsia="仿宋_GB2312"/>
                <w:kern w:val="0"/>
                <w:szCs w:val="21"/>
                <w:lang w:eastAsia="zh-CN"/>
              </w:rPr>
              <w:t>》、《</w:t>
            </w:r>
            <w:r>
              <w:rPr>
                <w:rFonts w:hint="eastAsia" w:ascii="Times New Roman" w:hAnsi="Times New Roman" w:eastAsia="仿宋_GB2312"/>
                <w:kern w:val="0"/>
                <w:szCs w:val="21"/>
                <w:lang w:val="en-US" w:eastAsia="zh-CN"/>
              </w:rPr>
              <w:t>安全生产法</w:t>
            </w:r>
            <w:r>
              <w:rPr>
                <w:rFonts w:hint="eastAsia" w:ascii="Times New Roman" w:hAnsi="Times New Roman" w:eastAsia="仿宋_GB2312"/>
                <w:kern w:val="0"/>
                <w:szCs w:val="21"/>
                <w:lang w:eastAsia="zh-CN"/>
              </w:rPr>
              <w:t>》、《建设工程质量管理条例》、《建设工程安全生产管理条例》、《福建省房屋市政工程质量安全监督工作标准》、《福建省房屋市政工程质量安全动态监管办法》等法律法规</w:t>
            </w:r>
            <w:r>
              <w:rPr>
                <w:rFonts w:hint="eastAsia" w:ascii="Times New Roman" w:hAnsi="Times New Roman" w:eastAsia="仿宋_GB2312"/>
                <w:kern w:val="0"/>
                <w:szCs w:val="21"/>
                <w:lang w:val="en-US" w:eastAsia="zh-CN"/>
              </w:rPr>
              <w:t>及强制性标准</w:t>
            </w:r>
            <w:bookmarkStart w:id="0" w:name="_GoBack"/>
            <w:bookmarkEnd w:id="0"/>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3-5名/项目</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全年不定期开展，季度对可考评项目全覆盖检查</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质安站</w:t>
            </w:r>
          </w:p>
        </w:tc>
        <w:tc>
          <w:tcPr>
            <w:tcW w:w="6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r>
        <w:tblPrEx>
          <w:tblLayout w:type="fixed"/>
          <w:tblCellMar>
            <w:top w:w="0" w:type="dxa"/>
            <w:left w:w="108" w:type="dxa"/>
            <w:bottom w:w="0" w:type="dxa"/>
            <w:right w:w="108" w:type="dxa"/>
          </w:tblCellMar>
        </w:tblPrEx>
        <w:trPr>
          <w:trHeight w:val="1374" w:hRule="atLeast"/>
        </w:trPr>
        <w:tc>
          <w:tcPr>
            <w:tcW w:w="3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4</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工程质量检测机构专项检查</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在晋江市</w:t>
            </w:r>
            <w:r>
              <w:rPr>
                <w:rFonts w:hint="eastAsia" w:ascii="Times New Roman" w:hAnsi="Times New Roman" w:eastAsia="仿宋_GB2312"/>
                <w:kern w:val="0"/>
                <w:szCs w:val="21"/>
                <w:lang w:eastAsia="zh-CN"/>
              </w:rPr>
              <w:t>设立办事处的材料检测机构、</w:t>
            </w:r>
            <w:r>
              <w:rPr>
                <w:rFonts w:hint="eastAsia" w:ascii="Times New Roman" w:hAnsi="Times New Roman" w:eastAsia="仿宋_GB2312"/>
                <w:kern w:val="0"/>
                <w:szCs w:val="21"/>
                <w:lang w:val="en-US" w:eastAsia="zh-CN"/>
              </w:rPr>
              <w:t>在</w:t>
            </w:r>
            <w:r>
              <w:rPr>
                <w:rFonts w:hint="eastAsia" w:ascii="Times New Roman" w:hAnsi="Times New Roman" w:eastAsia="仿宋_GB2312"/>
                <w:kern w:val="0"/>
                <w:szCs w:val="21"/>
                <w:lang w:eastAsia="zh-CN"/>
              </w:rPr>
              <w:t>晋设立办事处的基桩检测机构、在晋开展地基基础检测机构</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100%</w:t>
            </w:r>
          </w:p>
        </w:tc>
        <w:tc>
          <w:tcPr>
            <w:tcW w:w="23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材料检测：主要检查报告上传、视频监控安装及使用、实验室设施和环境、设备和标准物质、样品管理、检测行为等。</w:t>
            </w:r>
          </w:p>
          <w:p>
            <w:pPr>
              <w:widowControl/>
              <w:spacing w:line="240" w:lineRule="exact"/>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eastAsia="zh-CN"/>
              </w:rPr>
              <w:t>基桩检测：主要检查检测人员、仪器、加载反力装置配重、试验操作、试验数据上传、桩位确认、视频监控等。</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福建省住建厅关于强化桩基工程质量管理的意见》（闽建建〔2022〕2号）、《福建省建设工程质量检测管理实施细则》、《福建省房屋市政工程基桩检测质量监督检查工作标准》、《泉州市住建局关于加强我市建设工程质量检测监督管理的通知》（泉建规〔2022〕2号）</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2名/组*日</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上、下半年各全覆盖开展一次</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质安站</w:t>
            </w:r>
          </w:p>
        </w:tc>
        <w:tc>
          <w:tcPr>
            <w:tcW w:w="6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r>
        <w:tblPrEx>
          <w:tblLayout w:type="fixed"/>
          <w:tblCellMar>
            <w:top w:w="0" w:type="dxa"/>
            <w:left w:w="108" w:type="dxa"/>
            <w:bottom w:w="0" w:type="dxa"/>
            <w:right w:w="108" w:type="dxa"/>
          </w:tblCellMar>
        </w:tblPrEx>
        <w:trPr>
          <w:trHeight w:val="1374" w:hRule="atLeast"/>
        </w:trPr>
        <w:tc>
          <w:tcPr>
            <w:tcW w:w="3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5</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预拌混凝土企业专项检查</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全市取得绿色搅拌站资质的预拌混凝土企业</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100%</w:t>
            </w:r>
          </w:p>
        </w:tc>
        <w:tc>
          <w:tcPr>
            <w:tcW w:w="23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eastAsia="zh-CN"/>
              </w:rPr>
              <w:t>实验室管理、原材料质量管理、生产质量管理。</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福建省预拌混凝土质量管理办法(2023版)</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2名/组*日</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上、下半年各全覆盖开展一次</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质安站</w:t>
            </w:r>
          </w:p>
        </w:tc>
        <w:tc>
          <w:tcPr>
            <w:tcW w:w="6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r>
        <w:tblPrEx>
          <w:tblLayout w:type="fixed"/>
          <w:tblCellMar>
            <w:top w:w="0" w:type="dxa"/>
            <w:left w:w="108" w:type="dxa"/>
            <w:bottom w:w="0" w:type="dxa"/>
            <w:right w:w="108" w:type="dxa"/>
          </w:tblCellMar>
        </w:tblPrEx>
        <w:trPr>
          <w:trHeight w:val="1374" w:hRule="atLeast"/>
        </w:trPr>
        <w:tc>
          <w:tcPr>
            <w:tcW w:w="3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6</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物业住宅小区检查</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物业服务企业</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1%</w:t>
            </w:r>
          </w:p>
        </w:tc>
        <w:tc>
          <w:tcPr>
            <w:tcW w:w="23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1物业管理服务费用公示信息情况；2、公共收益公示情况；3、公共水电分摊情况公示情况；4、相关专业技术人员持证上岗情况；5、共用设施设备运行、使用及维护情况</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w:t>
            </w:r>
            <w:r>
              <w:rPr>
                <w:rFonts w:hint="eastAsia" w:ascii="Times New Roman" w:hAnsi="Times New Roman" w:eastAsia="仿宋_GB2312"/>
                <w:kern w:val="0"/>
                <w:szCs w:val="21"/>
                <w:lang w:val="en-US" w:eastAsia="zh-CN"/>
              </w:rPr>
              <w:t>福建省物业管理条例</w:t>
            </w:r>
            <w:r>
              <w:rPr>
                <w:rFonts w:hint="eastAsia" w:ascii="Times New Roman" w:hAnsi="Times New Roman" w:eastAsia="仿宋_GB2312"/>
                <w:kern w:val="0"/>
                <w:szCs w:val="21"/>
                <w:lang w:eastAsia="zh-CN"/>
              </w:rPr>
              <w:t>》、《</w:t>
            </w:r>
            <w:r>
              <w:rPr>
                <w:rFonts w:hint="eastAsia" w:ascii="Times New Roman" w:hAnsi="Times New Roman" w:eastAsia="仿宋_GB2312"/>
                <w:kern w:val="0"/>
                <w:szCs w:val="21"/>
                <w:lang w:val="en-US" w:eastAsia="zh-CN"/>
              </w:rPr>
              <w:t>福建省住宅小区公共收益管理办法（试行）</w:t>
            </w:r>
            <w:r>
              <w:rPr>
                <w:rFonts w:hint="eastAsia" w:ascii="Times New Roman" w:hAnsi="Times New Roman" w:eastAsia="仿宋_GB2312"/>
                <w:kern w:val="0"/>
                <w:szCs w:val="21"/>
                <w:lang w:eastAsia="zh-CN"/>
              </w:rPr>
              <w:t>》、《</w:t>
            </w:r>
            <w:r>
              <w:rPr>
                <w:rFonts w:hint="eastAsia" w:ascii="Times New Roman" w:hAnsi="Times New Roman" w:eastAsia="仿宋_GB2312"/>
                <w:kern w:val="0"/>
                <w:szCs w:val="21"/>
                <w:lang w:val="en-US" w:eastAsia="zh-CN"/>
              </w:rPr>
              <w:t>福建省住宅小区物业服务事项公开公示管理实施细则（试行）</w:t>
            </w:r>
            <w:r>
              <w:rPr>
                <w:rFonts w:hint="eastAsia" w:ascii="Times New Roman" w:hAnsi="Times New Roman" w:eastAsia="仿宋_GB2312"/>
                <w:kern w:val="0"/>
                <w:szCs w:val="21"/>
                <w:lang w:eastAsia="zh-CN"/>
              </w:rPr>
              <w:t>》、《住宅物业管理服务规范》</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4名/日</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3月、6月、9月、12月</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物业服务促进中心</w:t>
            </w:r>
          </w:p>
        </w:tc>
        <w:tc>
          <w:tcPr>
            <w:tcW w:w="6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r>
        <w:tblPrEx>
          <w:tblLayout w:type="fixed"/>
          <w:tblCellMar>
            <w:top w:w="0" w:type="dxa"/>
            <w:left w:w="108" w:type="dxa"/>
            <w:bottom w:w="0" w:type="dxa"/>
            <w:right w:w="108" w:type="dxa"/>
          </w:tblCellMar>
        </w:tblPrEx>
        <w:trPr>
          <w:trHeight w:val="1374" w:hRule="atLeast"/>
        </w:trPr>
        <w:tc>
          <w:tcPr>
            <w:tcW w:w="3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7</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房地产市场检查</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房地产开发项目</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highlight w:val="none"/>
                <w:lang w:eastAsia="zh-CN"/>
              </w:rPr>
              <w:t>5</w:t>
            </w:r>
            <w:r>
              <w:rPr>
                <w:rFonts w:hint="eastAsia" w:ascii="Times New Roman" w:hAnsi="Times New Roman" w:eastAsia="仿宋_GB2312"/>
                <w:kern w:val="0"/>
                <w:szCs w:val="21"/>
                <w:highlight w:val="none"/>
                <w:lang w:val="en-US" w:eastAsia="zh-CN"/>
              </w:rPr>
              <w:t>%</w:t>
            </w:r>
          </w:p>
        </w:tc>
        <w:tc>
          <w:tcPr>
            <w:tcW w:w="23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eastAsia="zh-CN"/>
              </w:rPr>
              <w:t>1、是否存在违法预售行为:2、是否存在捂盘惜售行为;3、是否按规定在销售现场公示有关证件及销售情况;</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《城市房地产管理法》、国务院《城市房地产开发经营管理条例》、《城市商品房预售管理办法》、《商品房销售管理办法》</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2名/日</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5月、10月共二次</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房管科</w:t>
            </w:r>
          </w:p>
        </w:tc>
        <w:tc>
          <w:tcPr>
            <w:tcW w:w="6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r>
        <w:tblPrEx>
          <w:tblLayout w:type="fixed"/>
          <w:tblCellMar>
            <w:top w:w="0" w:type="dxa"/>
            <w:left w:w="108" w:type="dxa"/>
            <w:bottom w:w="0" w:type="dxa"/>
            <w:right w:w="108" w:type="dxa"/>
          </w:tblCellMar>
        </w:tblPrEx>
        <w:trPr>
          <w:trHeight w:val="1374" w:hRule="atLeast"/>
        </w:trPr>
        <w:tc>
          <w:tcPr>
            <w:tcW w:w="3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8</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房地产中介检查</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房地产经纪机构</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Cs w:val="21"/>
                <w:lang w:eastAsia="zh-CN"/>
              </w:rPr>
            </w:pPr>
            <w:r>
              <w:rPr>
                <w:rFonts w:hint="eastAsia" w:ascii="Times New Roman" w:hAnsi="Times New Roman" w:eastAsia="仿宋_GB2312"/>
                <w:kern w:val="0"/>
                <w:szCs w:val="21"/>
                <w:lang w:val="en-US" w:eastAsia="zh-CN"/>
              </w:rPr>
              <w:t>1</w:t>
            </w:r>
            <w:r>
              <w:rPr>
                <w:rFonts w:hint="eastAsia" w:ascii="Times New Roman" w:hAnsi="Times New Roman" w:eastAsia="仿宋_GB2312"/>
                <w:kern w:val="0"/>
                <w:szCs w:val="21"/>
                <w:lang w:eastAsia="zh-CN"/>
              </w:rPr>
              <w:t>5</w:t>
            </w:r>
            <w:r>
              <w:rPr>
                <w:rFonts w:hint="eastAsia" w:ascii="Times New Roman" w:hAnsi="Times New Roman" w:eastAsia="仿宋_GB2312"/>
                <w:kern w:val="0"/>
                <w:szCs w:val="21"/>
                <w:lang w:val="en-US" w:eastAsia="zh-CN"/>
              </w:rPr>
              <w:t>%</w:t>
            </w:r>
          </w:p>
        </w:tc>
        <w:tc>
          <w:tcPr>
            <w:tcW w:w="23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eastAsia="zh-CN"/>
              </w:rPr>
              <w:t>1、房地产经纪机构备案情况；2、是否存在对交易当事人隐瞒真实的房屋交易信息，低价收进高价卖出房屋赚取差价行为;3、是否存在发布未经产权人书面委托的房源信息或虚假房源信息等行为;</w:t>
            </w:r>
            <w:r>
              <w:rPr>
                <w:rFonts w:hint="eastAsia" w:ascii="Times New Roman" w:hAnsi="Times New Roman" w:eastAsia="仿宋_GB2312"/>
                <w:kern w:val="0"/>
                <w:szCs w:val="21"/>
                <w:lang w:val="en-US" w:eastAsia="zh-CN"/>
              </w:rPr>
              <w:t>4、是否在经营场所醒目位置标明房地产中介服务项目、内容和收费标准以及其他应公示信息，工作人员是否落实挂牌实名制；5、是否存在对不符合交易条件的期房、保障性住房和禁止交易的房屋提供中介服务的行为。</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《房地产经纪管理办法》、《住房和城乡建设部等</w:t>
            </w:r>
            <w:r>
              <w:rPr>
                <w:rFonts w:hint="eastAsia" w:ascii="Times New Roman" w:hAnsi="Times New Roman" w:eastAsia="仿宋_GB2312"/>
                <w:kern w:val="0"/>
                <w:szCs w:val="21"/>
                <w:lang w:val="en-US" w:eastAsia="zh-CN"/>
              </w:rPr>
              <w:t>8部门关于持续整治规范房地产市场秩序的通知</w:t>
            </w:r>
            <w:r>
              <w:rPr>
                <w:rFonts w:hint="eastAsia" w:ascii="Times New Roman" w:hAnsi="Times New Roman" w:eastAsia="仿宋_GB2312"/>
                <w:kern w:val="0"/>
                <w:szCs w:val="21"/>
                <w:lang w:eastAsia="zh-CN"/>
              </w:rPr>
              <w:t>》（建房</w:t>
            </w:r>
            <w:r>
              <w:rPr>
                <w:rFonts w:hint="eastAsia" w:ascii="Times New Roman" w:hAnsi="Times New Roman" w:eastAsia="仿宋_GB2312"/>
                <w:kern w:val="0"/>
                <w:szCs w:val="21"/>
                <w:lang w:val="en-US" w:eastAsia="zh-CN"/>
              </w:rPr>
              <w:t>[2021]55号</w:t>
            </w:r>
            <w:r>
              <w:rPr>
                <w:rFonts w:hint="eastAsia" w:ascii="Times New Roman" w:hAnsi="Times New Roman" w:eastAsia="仿宋_GB2312"/>
                <w:kern w:val="0"/>
                <w:szCs w:val="21"/>
                <w:lang w:eastAsia="zh-CN"/>
              </w:rPr>
              <w:t>）</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2名/日</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全年不定期开展</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kern w:val="0"/>
                <w:szCs w:val="21"/>
                <w:lang w:eastAsia="zh-CN"/>
              </w:rPr>
            </w:pPr>
            <w:r>
              <w:rPr>
                <w:rFonts w:hint="eastAsia" w:ascii="Times New Roman" w:hAnsi="Times New Roman" w:eastAsia="仿宋_GB2312"/>
                <w:kern w:val="0"/>
                <w:szCs w:val="21"/>
                <w:lang w:eastAsia="zh-CN"/>
              </w:rPr>
              <w:t>房管科</w:t>
            </w:r>
          </w:p>
        </w:tc>
        <w:tc>
          <w:tcPr>
            <w:tcW w:w="6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kern w:val="0"/>
                <w:sz w:val="21"/>
                <w:szCs w:val="21"/>
                <w:highlight w:val="yellow"/>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ind w:left="0" w:right="0" w:firstLine="0"/>
        <w:jc w:val="both"/>
        <w:rPr>
          <w:rFonts w:ascii="宋体" w:hAnsi="宋体" w:eastAsia="宋体" w:cs="宋体"/>
          <w:i w:val="0"/>
          <w:iCs w:val="0"/>
          <w:caps w:val="0"/>
          <w:color w:val="333333"/>
          <w:spacing w:val="0"/>
          <w:sz w:val="32"/>
          <w:szCs w:val="32"/>
        </w:rPr>
      </w:pPr>
      <w:r>
        <w:rPr>
          <w:rFonts w:hint="eastAsia" w:ascii="仿宋_GB2312" w:hAnsi="仿宋_GB2312" w:eastAsia="仿宋_GB2312" w:cs="仿宋_GB2312"/>
          <w:sz w:val="24"/>
          <w:szCs w:val="20"/>
          <w:lang w:eastAsia="zh-CN"/>
        </w:rPr>
        <w:t>注：具体抽查时间以及抽查对象以实际为准。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F221A"/>
    <w:rsid w:val="003D6656"/>
    <w:rsid w:val="072440CC"/>
    <w:rsid w:val="07403788"/>
    <w:rsid w:val="08AD3055"/>
    <w:rsid w:val="12130C68"/>
    <w:rsid w:val="199B3F16"/>
    <w:rsid w:val="20C73955"/>
    <w:rsid w:val="275D4D64"/>
    <w:rsid w:val="280E51F1"/>
    <w:rsid w:val="3178194A"/>
    <w:rsid w:val="373158C6"/>
    <w:rsid w:val="3C391D8E"/>
    <w:rsid w:val="4E5C4F50"/>
    <w:rsid w:val="50AA076B"/>
    <w:rsid w:val="52650152"/>
    <w:rsid w:val="5AA91A93"/>
    <w:rsid w:val="5D762E2E"/>
    <w:rsid w:val="61801A33"/>
    <w:rsid w:val="65BE078B"/>
    <w:rsid w:val="6C3D1A84"/>
    <w:rsid w:val="76AF3B36"/>
    <w:rsid w:val="7C5F221A"/>
    <w:rsid w:val="7CF624BE"/>
    <w:rsid w:val="7FD0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1932</Words>
  <Characters>1990</Characters>
  <Lines>0</Lines>
  <Paragraphs>0</Paragraphs>
  <TotalTime>1</TotalTime>
  <ScaleCrop>false</ScaleCrop>
  <LinksUpToDate>false</LinksUpToDate>
  <CharactersWithSpaces>2023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2026-01-12T00:28:00Z</dcterms:created>
  <dc:creator>立志</dc:creator>
  <cp:lastModifiedBy>Administrator</cp:lastModifiedBy>
  <dcterms:modified xsi:type="dcterms:W3CDTF">2026-01-28T00:45:08Z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F5997FCD6AF44D339D5C5AA04233C542_11</vt:lpwstr>
  </property>
  <property fmtid="{D5CDD505-2E9C-101B-9397-08002B2CF9AE}" pid="4" name="KSOTemplateDocerSaveRecord">
    <vt:lpwstr>eyJoZGlkIjoiMmUyZDlkYzZiODUyOTgyYzg3OTgwYTI3NDk2MTk1MjIiLCJ1c2VySWQiOiIxMTY3NjY2OTgxIn0=</vt:lpwstr>
  </property>
</Properties>
</file>