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xml" PartName="/customXml/item2.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7245A" w14:paraId="63F803A5" w14:textId="77777777">
      <w:pPr>
        <w:widowControl/>
        <w:spacing w:line="276" w:lineRule="auto"/>
        <w:rPr>
          <w:sz w:val="32"/>
          <w:szCs w:val="32"/>
        </w:rPr>
      </w:pPr>
    </w:p>
    <w:p w:rsidR="0047245A" w14:paraId="3CB0AA42" w14:textId="77777777">
      <w:pPr>
        <w:widowControl/>
        <w:spacing w:line="276" w:lineRule="auto"/>
        <w:rPr>
          <w:sz w:val="32"/>
          <w:szCs w:val="32"/>
        </w:rPr>
      </w:pPr>
    </w:p>
    <w:p w:rsidR="0047245A" w14:paraId="60806D3B" w14:textId="77777777">
      <w:pPr>
        <w:widowControl/>
        <w:spacing w:line="276" w:lineRule="auto"/>
        <w:jc w:val="center"/>
        <w:rPr>
          <w:rFonts w:ascii="方正小标宋简体" w:eastAsia="方正小标宋简体"/>
          <w:sz w:val="84"/>
          <w:szCs w:val="84"/>
        </w:rPr>
      </w:pPr>
    </w:p>
    <w:p w:rsidR="0047245A" w14:paraId="39EB66AC" w14:textId="77777777">
      <w:pPr>
        <w:widowControl/>
        <w:spacing w:line="276" w:lineRule="auto"/>
        <w:jc w:val="center"/>
        <w:rPr>
          <w:rFonts w:ascii="方正小标宋简体" w:eastAsia="方正小标宋简体"/>
          <w:sz w:val="84"/>
          <w:szCs w:val="84"/>
        </w:rPr>
      </w:pPr>
    </w:p>
    <w:p w:rsidR="0047245A" w14:paraId="16CEA017" w14:textId="77777777">
      <w:pPr>
        <w:widowControl/>
        <w:spacing w:line="276" w:lineRule="auto"/>
        <w:jc w:val="center"/>
        <w:rPr>
          <w:rFonts w:ascii="方正小标宋简体" w:eastAsia="方正小标宋简体"/>
          <w:sz w:val="84"/>
          <w:szCs w:val="84"/>
        </w:rPr>
      </w:pPr>
      <w:r>
        <w:rPr>
          <w:rFonts w:ascii="Times New Roman" w:eastAsia="Times New Roman" w:hAnsi="Times New Roman" w:cs="Times New Roman"/>
          <w:sz w:val="84"/>
        </w:rPr>
        <w:t>2025</w:t>
      </w:r>
      <w:r>
        <w:rPr>
          <w:rFonts w:ascii="方正小标宋简体" w:eastAsia="方正小标宋简体" w:hAnsi="方正小标宋简体" w:cs="方正小标宋简体"/>
          <w:sz w:val="84"/>
        </w:rPr>
        <w:t>年度</w:t>
      </w:r>
    </w:p>
    <w:p w:rsidR="0047245A" w14:paraId="0FE05066"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晋江市司法局</w:t>
      </w:r>
    </w:p>
    <w:p w:rsidR="0047245A" w14:paraId="2B791BD1" w14:textId="77777777">
      <w:pPr>
        <w:widowControl/>
        <w:spacing w:line="276" w:lineRule="auto"/>
        <w:jc w:val="center"/>
        <w:rPr>
          <w:rFonts w:ascii="方正小标宋简体" w:eastAsia="方正小标宋简体"/>
          <w:sz w:val="84"/>
          <w:szCs w:val="84"/>
        </w:rPr>
      </w:pPr>
      <w:r>
        <w:rPr>
          <w:rFonts w:ascii="方正小标宋简体" w:eastAsia="方正小标宋简体" w:hint="eastAsia"/>
          <w:sz w:val="84"/>
          <w:szCs w:val="84"/>
        </w:rPr>
        <w:t>部门预算</w:t>
      </w:r>
    </w:p>
    <w:p w:rsidR="0047245A" w14:paraId="602CF4B2" w14:textId="77777777">
      <w:pPr>
        <w:widowControl/>
        <w:spacing w:line="276" w:lineRule="auto"/>
        <w:rPr>
          <w:rFonts w:ascii="方正小标宋简体" w:eastAsia="方正小标宋简体"/>
          <w:sz w:val="84"/>
          <w:szCs w:val="84"/>
        </w:rPr>
      </w:pPr>
    </w:p>
    <w:p w:rsidR="0047245A" w14:paraId="37B42D5A" w14:textId="77777777">
      <w:pPr>
        <w:autoSpaceDE w:val="0"/>
        <w:autoSpaceDN w:val="0"/>
        <w:jc w:val="center"/>
        <w:rPr>
          <w:rFonts w:asciiTheme="majorEastAsia" w:eastAsiaTheme="majorEastAsia" w:hAnsiTheme="majorEastAsia" w:hint="eastAsia"/>
          <w:b/>
          <w:sz w:val="36"/>
        </w:rPr>
        <w:sectPr w:rsidSect="00485CB9">
          <w:headerReference w:type="even" r:id="rId6"/>
          <w:headerReference w:type="default" r:id="rId7"/>
          <w:pgSz w:w="11906" w:h="16838"/>
          <w:pgMar w:top="1440" w:right="1134" w:bottom="1440" w:left="1134" w:header="851" w:footer="992" w:gutter="0"/>
          <w:cols w:space="425"/>
          <w:docGrid w:type="lines" w:linePitch="312"/>
        </w:sectPr>
      </w:pPr>
    </w:p>
    <w:p w:rsidR="0047245A" w:rsidRPr="00AA5168" w14:paraId="163CA3A0" w14:textId="77777777">
      <w:pPr>
        <w:autoSpaceDE w:val="0"/>
        <w:autoSpaceDN w:val="0"/>
        <w:jc w:val="center"/>
        <w:rPr>
          <w:rFonts w:ascii="方正小标宋简体" w:eastAsia="方正小标宋简体" w:hAnsiTheme="majorEastAsia" w:hint="eastAsia"/>
          <w:b/>
          <w:sz w:val="44"/>
          <w:szCs w:val="44"/>
        </w:rPr>
      </w:pPr>
      <w:r w:rsidRPr="00AA5168">
        <w:rPr>
          <w:rFonts w:ascii="方正小标宋简体" w:eastAsia="方正小标宋简体" w:hAnsiTheme="majorEastAsia" w:hint="eastAsia"/>
          <w:b/>
          <w:sz w:val="44"/>
          <w:szCs w:val="44"/>
        </w:rPr>
        <w:t>目  录</w:t>
      </w:r>
    </w:p>
    <w:p w:rsidR="0047245A" w14:paraId="2F5DE101" w14:textId="77777777"/>
    <w:p w:rsidR="0047245A" w:rsidRPr="00774CED" w14:paraId="3F8DBFD3" w14:textId="77777777">
      <w:pPr>
        <w:pStyle w:val="TOC1"/>
        <w:tabs>
          <w:tab w:val="right" w:leader="dot" w:pos="8306"/>
        </w:tabs>
        <w:rPr>
          <w:rFonts w:ascii="仿宋" w:eastAsia="仿宋" w:hAnsi="仿宋" w:cs="宋体" w:hint="eastAsia"/>
          <w:b/>
          <w:bCs/>
          <w:sz w:val="36"/>
          <w:szCs w:val="36"/>
        </w:rPr>
      </w:pPr>
      <w:r w:rsidRPr="00774CED">
        <w:rPr>
          <w:rFonts w:ascii="仿宋" w:eastAsia="仿宋" w:hAnsi="仿宋" w:hint="eastAsia"/>
          <w:b/>
          <w:sz w:val="36"/>
        </w:rPr>
        <w:t xml:space="preserve">第一部分 </w:t>
      </w:r>
      <w:r w:rsidRPr="00774CED">
        <w:rPr>
          <w:rFonts w:ascii="仿宋" w:eastAsia="仿宋" w:hAnsi="仿宋" w:cs="宋体" w:hint="eastAsia"/>
          <w:kern w:val="0"/>
          <w:sz w:val="36"/>
          <w:szCs w:val="36"/>
        </w:rPr>
        <w:fldChar w:fldCharType="begin"/>
      </w:r>
      <w:r w:rsidRPr="00774CED">
        <w:rPr>
          <w:rFonts w:ascii="仿宋" w:eastAsia="仿宋" w:hAnsi="仿宋" w:cs="宋体" w:hint="eastAsia"/>
          <w:kern w:val="0"/>
          <w:sz w:val="36"/>
          <w:szCs w:val="36"/>
        </w:rPr>
        <w:instrText xml:space="preserve">TOC \o "1-3" \h \u </w:instrText>
      </w:r>
      <w:r w:rsidRPr="00774CED">
        <w:rPr>
          <w:rFonts w:ascii="仿宋" w:eastAsia="仿宋" w:hAnsi="仿宋" w:cs="宋体" w:hint="eastAsia"/>
          <w:kern w:val="0"/>
          <w:sz w:val="36"/>
          <w:szCs w:val="36"/>
        </w:rPr>
        <w:fldChar w:fldCharType="separate"/>
      </w:r>
      <w:hyperlink w:anchor="_Toc3371" w:history="1">
        <w:r w:rsidRPr="00774CED">
          <w:rPr>
            <w:rStyle w:val="TOC110"/>
            <w:rFonts w:ascii="仿宋" w:eastAsia="仿宋" w:hAnsi="仿宋" w:hint="eastAsia"/>
          </w:rPr>
          <w:t>部门概况</w:t>
        </w:r>
        <w:r w:rsidRPr="00774CED">
          <w:rPr>
            <w:rStyle w:val="TOC110"/>
            <w:rFonts w:ascii="仿宋" w:eastAsia="仿宋" w:hAnsi="仿宋" w:hint="eastAsia"/>
          </w:rPr>
          <w:tab/>
        </w:r>
        <w:r w:rsidRPr="00774CED">
          <w:rPr>
            <w:rStyle w:val="TOC110"/>
            <w:rFonts w:ascii="仿宋" w:eastAsia="仿宋" w:hAnsi="仿宋" w:hint="eastAsia"/>
          </w:rPr>
          <w:fldChar w:fldCharType="begin"/>
        </w:r>
        <w:r w:rsidRPr="00774CED">
          <w:rPr>
            <w:rStyle w:val="TOC110"/>
            <w:rFonts w:ascii="仿宋" w:eastAsia="仿宋" w:hAnsi="仿宋" w:hint="eastAsia"/>
          </w:rPr>
          <w:instrText xml:space="preserve"> PAGEREF _Toc3371 \h </w:instrText>
        </w:r>
        <w:r w:rsidRPr="00774CED">
          <w:rPr>
            <w:rStyle w:val="TOC110"/>
            <w:rFonts w:ascii="仿宋" w:eastAsia="仿宋" w:hAnsi="仿宋" w:hint="eastAsia"/>
          </w:rPr>
          <w:fldChar w:fldCharType="separate"/>
        </w:r>
        <w:r w:rsidRPr="00774CED">
          <w:rPr>
            <w:rStyle w:val="TOC110"/>
            <w:rFonts w:ascii="仿宋" w:eastAsia="仿宋" w:hAnsi="仿宋" w:hint="eastAsia"/>
          </w:rPr>
          <w:t>1</w:t>
        </w:r>
        <w:r w:rsidRPr="00774CED">
          <w:rPr>
            <w:rStyle w:val="TOC110"/>
            <w:rFonts w:ascii="仿宋" w:eastAsia="仿宋" w:hAnsi="仿宋" w:hint="eastAsia"/>
          </w:rPr>
          <w:fldChar w:fldCharType="end"/>
        </w:r>
      </w:hyperlink>
    </w:p>
    <w:p w:rsidR="0047245A" w:rsidRPr="00774CED" w:rsidP="005643E0" w14:paraId="3C04E109" w14:textId="77777777">
      <w:pPr>
        <w:pStyle w:val="TOC22"/>
        <w:rPr>
          <w:rFonts w:ascii="仿宋" w:eastAsia="仿宋" w:hAnsi="仿宋" w:hint="eastAsia"/>
        </w:rPr>
      </w:pPr>
      <w:hyperlink w:anchor="_Toc27605" w:history="1">
        <w:r w:rsidRPr="00774CED">
          <w:rPr>
            <w:rFonts w:ascii="仿宋" w:eastAsia="仿宋" w:hAnsi="仿宋" w:hint="eastAsia"/>
          </w:rPr>
          <w:t>一、</w:t>
        </w:r>
        <w:r w:rsidRPr="00774CED" w:rsidR="00AB4E70">
          <w:rPr>
            <w:rFonts w:ascii="仿宋" w:eastAsia="仿宋" w:hAnsi="仿宋" w:hint="eastAsia"/>
          </w:rPr>
          <w:t>部门</w:t>
        </w:r>
        <w:r w:rsidRPr="00774CED">
          <w:rPr>
            <w:rStyle w:val="TOC220"/>
            <w:rFonts w:ascii="仿宋" w:eastAsia="仿宋" w:hAnsi="仿宋" w:hint="eastAsia"/>
          </w:rPr>
          <w:t>主要职责</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_Toc27605 \h </w:instrText>
        </w:r>
        <w:r w:rsidRPr="00774CED">
          <w:rPr>
            <w:rFonts w:ascii="仿宋" w:eastAsia="仿宋" w:hAnsi="仿宋" w:hint="eastAsia"/>
          </w:rPr>
          <w:fldChar w:fldCharType="separate"/>
        </w:r>
        <w:r w:rsidRPr="00774CED">
          <w:rPr>
            <w:rFonts w:ascii="仿宋" w:eastAsia="仿宋" w:hAnsi="仿宋" w:hint="eastAsia"/>
          </w:rPr>
          <w:t>2</w:t>
        </w:r>
        <w:r w:rsidRPr="00774CED">
          <w:rPr>
            <w:rFonts w:ascii="仿宋" w:eastAsia="仿宋" w:hAnsi="仿宋" w:hint="eastAsia"/>
          </w:rPr>
          <w:fldChar w:fldCharType="end"/>
        </w:r>
      </w:hyperlink>
    </w:p>
    <w:p w:rsidR="0047245A" w:rsidRPr="00774CED" w:rsidP="005643E0" w14:paraId="2239F8E1" w14:textId="77777777">
      <w:pPr>
        <w:pStyle w:val="TOC22"/>
        <w:rPr>
          <w:rFonts w:ascii="仿宋" w:eastAsia="仿宋" w:hAnsi="仿宋" w:hint="eastAsia"/>
        </w:rPr>
      </w:pPr>
      <w:hyperlink w:anchor="_Toc24970" w:history="1">
        <w:r w:rsidRPr="00774CED">
          <w:rPr>
            <w:rFonts w:ascii="仿宋" w:eastAsia="仿宋" w:hAnsi="仿宋" w:hint="eastAsia"/>
          </w:rPr>
          <w:t>二、</w:t>
        </w:r>
        <w:r w:rsidRPr="00774CED" w:rsidR="00AB4E70">
          <w:rPr>
            <w:rFonts w:ascii="仿宋" w:eastAsia="仿宋" w:hAnsi="仿宋" w:hint="eastAsia"/>
          </w:rPr>
          <w:t>部门</w:t>
        </w:r>
        <w:r w:rsidRPr="00774CED">
          <w:rPr>
            <w:rStyle w:val="TOC220"/>
            <w:rFonts w:ascii="仿宋" w:eastAsia="仿宋" w:hAnsi="仿宋" w:hint="eastAsia"/>
          </w:rPr>
          <w:t>预算单位构成</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_Toc24970 \h </w:instrText>
        </w:r>
        <w:r w:rsidRPr="00774CED">
          <w:rPr>
            <w:rFonts w:ascii="仿宋" w:eastAsia="仿宋" w:hAnsi="仿宋" w:hint="eastAsia"/>
          </w:rPr>
          <w:fldChar w:fldCharType="separate"/>
        </w:r>
        <w:r w:rsidRPr="00774CED">
          <w:rPr>
            <w:rFonts w:ascii="仿宋" w:eastAsia="仿宋" w:hAnsi="仿宋" w:hint="eastAsia"/>
          </w:rPr>
          <w:t>3</w:t>
        </w:r>
        <w:r w:rsidRPr="00774CED">
          <w:rPr>
            <w:rFonts w:ascii="仿宋" w:eastAsia="仿宋" w:hAnsi="仿宋" w:hint="eastAsia"/>
          </w:rPr>
          <w:fldChar w:fldCharType="end"/>
        </w:r>
      </w:hyperlink>
    </w:p>
    <w:p w:rsidR="0047245A" w:rsidRPr="00774CED" w:rsidP="005643E0" w14:paraId="250D84B7" w14:textId="77777777">
      <w:pPr>
        <w:pStyle w:val="TOC22"/>
        <w:rPr>
          <w:rFonts w:ascii="仿宋" w:eastAsia="仿宋" w:hAnsi="仿宋" w:hint="eastAsia"/>
        </w:rPr>
      </w:pPr>
      <w:hyperlink w:anchor="_Toc13692" w:history="1">
        <w:r w:rsidRPr="00774CED">
          <w:rPr>
            <w:rFonts w:ascii="仿宋" w:eastAsia="仿宋" w:hAnsi="仿宋" w:hint="eastAsia"/>
          </w:rPr>
          <w:t>三、</w:t>
        </w:r>
        <w:r w:rsidRPr="00774CED" w:rsidR="00AB4E70">
          <w:rPr>
            <w:rFonts w:ascii="仿宋" w:eastAsia="仿宋" w:hAnsi="仿宋" w:hint="eastAsia"/>
          </w:rPr>
          <w:t>部门</w:t>
        </w:r>
        <w:r w:rsidRPr="00774CED">
          <w:rPr>
            <w:rStyle w:val="TOC220"/>
            <w:rFonts w:ascii="仿宋" w:eastAsia="仿宋" w:hAnsi="仿宋" w:hint="eastAsia"/>
          </w:rPr>
          <w:t>主要工作任务</w:t>
        </w:r>
        <w:r w:rsidRPr="00774CED">
          <w:rPr>
            <w:rFonts w:ascii="仿宋" w:eastAsia="仿宋" w:hAnsi="仿宋" w:hint="eastAsia"/>
          </w:rPr>
          <w:tab/>
        </w:r>
        <w:r w:rsidRPr="00774CED">
          <w:rPr>
            <w:rFonts w:ascii="仿宋" w:eastAsia="仿宋" w:hAnsi="仿宋" w:hint="eastAsia"/>
          </w:rPr>
          <w:fldChar w:fldCharType="begin"/>
        </w:r>
        <w:r w:rsidRPr="00774CED">
          <w:rPr>
            <w:rFonts w:ascii="仿宋" w:eastAsia="仿宋" w:hAnsi="仿宋" w:hint="eastAsia"/>
          </w:rPr>
          <w:instrText xml:space="preserve"> PAGEREF _Toc13692 \h </w:instrText>
        </w:r>
        <w:r w:rsidRPr="00774CED">
          <w:rPr>
            <w:rFonts w:ascii="仿宋" w:eastAsia="仿宋" w:hAnsi="仿宋" w:hint="eastAsia"/>
          </w:rPr>
          <w:fldChar w:fldCharType="separate"/>
        </w:r>
        <w:r w:rsidRPr="00774CED">
          <w:rPr>
            <w:rFonts w:ascii="仿宋" w:eastAsia="仿宋" w:hAnsi="仿宋" w:hint="eastAsia"/>
          </w:rPr>
          <w:t>4</w:t>
        </w:r>
        <w:r w:rsidRPr="00774CED">
          <w:rPr>
            <w:rFonts w:ascii="仿宋" w:eastAsia="仿宋" w:hAnsi="仿宋" w:hint="eastAsia"/>
          </w:rPr>
          <w:fldChar w:fldCharType="end"/>
        </w:r>
      </w:hyperlink>
    </w:p>
    <w:p w:rsidR="0047245A" w:rsidRPr="00774CED" w:rsidP="005643E0" w14:paraId="12A92412" w14:textId="25D5E39B">
      <w:pPr>
        <w:pStyle w:val="TOC11"/>
        <w:rPr>
          <w:rFonts w:ascii="仿宋" w:eastAsia="仿宋" w:hAnsi="仿宋" w:hint="eastAsia"/>
        </w:rPr>
      </w:pPr>
      <w:r w:rsidRPr="00774CED">
        <w:rPr>
          <w:rFonts w:ascii="仿宋" w:eastAsia="仿宋" w:hAnsi="仿宋" w:hint="eastAsia"/>
        </w:rPr>
        <w:t xml:space="preserve">第二部分 </w:t>
      </w:r>
      <w:r w:rsidRPr="00774CED">
        <w:rPr>
          <w:rStyle w:val="TOC110"/>
          <w:rFonts w:ascii="仿宋" w:eastAsia="仿宋" w:hAnsi="仿宋" w:hint="eastAsia"/>
          <w:b/>
          <w:bCs/>
        </w:rPr>
        <w:t>202</w:t>
      </w:r>
      <w:r w:rsidR="005604F0">
        <w:rPr>
          <w:rStyle w:val="TOC110"/>
          <w:rFonts w:ascii="仿宋" w:eastAsia="仿宋" w:hAnsi="仿宋" w:hint="eastAsia"/>
          <w:b/>
          <w:bCs/>
        </w:rPr>
        <w:t>5</w:t>
      </w:r>
      <w:hyperlink w:anchor="_Toc7139" w:history="1">
        <w:r w:rsidRPr="00774CED">
          <w:rPr>
            <w:rStyle w:val="TOC110"/>
            <w:rFonts w:ascii="仿宋" w:eastAsia="仿宋" w:hAnsi="仿宋" w:hint="eastAsia"/>
            <w:b/>
            <w:bCs/>
          </w:rPr>
          <w:t>年度</w:t>
        </w:r>
        <w:r w:rsidRPr="00774CED" w:rsidR="00AC7322">
          <w:rPr>
            <w:rStyle w:val="TOC110"/>
            <w:rFonts w:ascii="仿宋" w:eastAsia="仿宋" w:hAnsi="仿宋" w:hint="eastAsia"/>
            <w:b/>
            <w:bCs/>
          </w:rPr>
          <w:t>部门</w:t>
        </w:r>
        <w:r w:rsidRPr="00774CED">
          <w:rPr>
            <w:rStyle w:val="TOC110"/>
            <w:rFonts w:ascii="仿宋" w:eastAsia="仿宋" w:hAnsi="仿宋" w:hint="eastAsia"/>
            <w:b/>
            <w:bCs/>
          </w:rPr>
          <w:t>预算表</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_Toc7139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9</w:t>
        </w:r>
        <w:r w:rsidRPr="00774CED">
          <w:rPr>
            <w:rStyle w:val="TOC110"/>
            <w:rFonts w:ascii="仿宋" w:eastAsia="仿宋" w:hAnsi="仿宋" w:hint="eastAsia"/>
            <w:b/>
            <w:bCs/>
          </w:rPr>
          <w:fldChar w:fldCharType="end"/>
        </w:r>
      </w:hyperlink>
    </w:p>
    <w:p w:rsidR="0047245A" w:rsidRPr="00774CED" w14:paraId="7DD973DE" w14:textId="77777777">
      <w:pPr>
        <w:pStyle w:val="TOC1"/>
        <w:tabs>
          <w:tab w:val="right" w:leader="dot" w:pos="8306"/>
        </w:tabs>
        <w:rPr>
          <w:rFonts w:ascii="仿宋" w:eastAsia="仿宋" w:hAnsi="仿宋" w:cs="宋体" w:hint="eastAsia"/>
          <w:sz w:val="36"/>
          <w:szCs w:val="36"/>
        </w:rPr>
      </w:pPr>
      <w:hyperlink w:anchor="_Toc32170" w:history="1">
        <w:r w:rsidRPr="00774CED">
          <w:rPr>
            <w:rFonts w:ascii="仿宋" w:eastAsia="仿宋" w:hAnsi="仿宋" w:cs="宋体" w:hint="eastAsia"/>
            <w:sz w:val="36"/>
            <w:szCs w:val="36"/>
          </w:rPr>
          <w:t>一、收支预算总表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_Toc32170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10</w:t>
        </w:r>
        <w:r w:rsidRPr="00774CED">
          <w:rPr>
            <w:rFonts w:ascii="仿宋" w:eastAsia="仿宋" w:hAnsi="仿宋" w:cs="宋体" w:hint="eastAsia"/>
            <w:sz w:val="36"/>
            <w:szCs w:val="36"/>
          </w:rPr>
          <w:fldChar w:fldCharType="end"/>
        </w:r>
      </w:hyperlink>
    </w:p>
    <w:p w:rsidR="0047245A" w:rsidRPr="00774CED" w14:paraId="1A3F07BB" w14:textId="77777777">
      <w:pPr>
        <w:pStyle w:val="TOC1"/>
        <w:tabs>
          <w:tab w:val="right" w:leader="dot" w:pos="8306"/>
        </w:tabs>
        <w:rPr>
          <w:rFonts w:ascii="仿宋" w:eastAsia="仿宋" w:hAnsi="仿宋" w:cs="宋体" w:hint="eastAsia"/>
          <w:sz w:val="36"/>
          <w:szCs w:val="36"/>
        </w:rPr>
      </w:pPr>
      <w:hyperlink w:anchor="_Toc9802" w:history="1">
        <w:r w:rsidRPr="00774CED">
          <w:rPr>
            <w:rFonts w:ascii="仿宋" w:eastAsia="仿宋" w:hAnsi="仿宋" w:cs="宋体" w:hint="eastAsia"/>
            <w:sz w:val="36"/>
            <w:szCs w:val="36"/>
          </w:rPr>
          <w:t>二、收入预算总表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_Toc9802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11</w:t>
        </w:r>
        <w:r w:rsidRPr="00774CED">
          <w:rPr>
            <w:rFonts w:ascii="仿宋" w:eastAsia="仿宋" w:hAnsi="仿宋" w:cs="宋体" w:hint="eastAsia"/>
            <w:sz w:val="36"/>
            <w:szCs w:val="36"/>
          </w:rPr>
          <w:fldChar w:fldCharType="end"/>
        </w:r>
      </w:hyperlink>
    </w:p>
    <w:p w:rsidR="0047245A" w:rsidRPr="00774CED" w14:paraId="7F1862FA" w14:textId="77777777">
      <w:pPr>
        <w:pStyle w:val="TOC1"/>
        <w:tabs>
          <w:tab w:val="right" w:leader="dot" w:pos="8306"/>
        </w:tabs>
        <w:rPr>
          <w:rFonts w:ascii="仿宋" w:eastAsia="仿宋" w:hAnsi="仿宋" w:cs="宋体" w:hint="eastAsia"/>
          <w:sz w:val="36"/>
          <w:szCs w:val="36"/>
        </w:rPr>
      </w:pPr>
      <w:hyperlink w:anchor="_Toc23486" w:history="1">
        <w:r w:rsidRPr="00774CED">
          <w:rPr>
            <w:rFonts w:ascii="仿宋" w:eastAsia="仿宋" w:hAnsi="仿宋" w:cs="宋体" w:hint="eastAsia"/>
            <w:sz w:val="36"/>
            <w:szCs w:val="36"/>
          </w:rPr>
          <w:t>三、支出预算总表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_Toc23486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12</w:t>
        </w:r>
        <w:r w:rsidRPr="00774CED">
          <w:rPr>
            <w:rFonts w:ascii="仿宋" w:eastAsia="仿宋" w:hAnsi="仿宋" w:cs="宋体" w:hint="eastAsia"/>
            <w:sz w:val="36"/>
            <w:szCs w:val="36"/>
          </w:rPr>
          <w:fldChar w:fldCharType="end"/>
        </w:r>
      </w:hyperlink>
    </w:p>
    <w:p w:rsidR="0047245A" w:rsidRPr="00774CED" w14:paraId="659A0D0D" w14:textId="77777777">
      <w:pPr>
        <w:pStyle w:val="TOC1"/>
        <w:tabs>
          <w:tab w:val="right" w:leader="dot" w:pos="8306"/>
        </w:tabs>
        <w:rPr>
          <w:rFonts w:ascii="仿宋" w:eastAsia="仿宋" w:hAnsi="仿宋" w:cs="宋体" w:hint="eastAsia"/>
          <w:sz w:val="36"/>
          <w:szCs w:val="36"/>
        </w:rPr>
      </w:pPr>
      <w:hyperlink w:anchor="_Toc8668" w:history="1">
        <w:r w:rsidRPr="00774CED">
          <w:rPr>
            <w:rFonts w:ascii="仿宋" w:eastAsia="仿宋" w:hAnsi="仿宋" w:cs="宋体" w:hint="eastAsia"/>
            <w:sz w:val="36"/>
            <w:szCs w:val="36"/>
          </w:rPr>
          <w:t>四、财政拨款收支预算总表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_Toc8668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13</w:t>
        </w:r>
        <w:r w:rsidRPr="00774CED">
          <w:rPr>
            <w:rFonts w:ascii="仿宋" w:eastAsia="仿宋" w:hAnsi="仿宋" w:cs="宋体" w:hint="eastAsia"/>
            <w:sz w:val="36"/>
            <w:szCs w:val="36"/>
          </w:rPr>
          <w:fldChar w:fldCharType="end"/>
        </w:r>
      </w:hyperlink>
    </w:p>
    <w:p w:rsidR="0047245A" w:rsidRPr="00774CED" w14:paraId="61F38BDB" w14:textId="77777777">
      <w:pPr>
        <w:pStyle w:val="TOC1"/>
        <w:tabs>
          <w:tab w:val="right" w:leader="dot" w:pos="8306"/>
        </w:tabs>
        <w:rPr>
          <w:rFonts w:ascii="仿宋" w:eastAsia="仿宋" w:hAnsi="仿宋" w:cs="宋体" w:hint="eastAsia"/>
          <w:sz w:val="36"/>
          <w:szCs w:val="36"/>
        </w:rPr>
      </w:pPr>
      <w:hyperlink w:anchor="_Toc32454" w:history="1">
        <w:r w:rsidRPr="00774CED">
          <w:rPr>
            <w:rFonts w:ascii="仿宋" w:eastAsia="仿宋" w:hAnsi="仿宋" w:cs="宋体" w:hint="eastAsia"/>
            <w:sz w:val="36"/>
            <w:szCs w:val="36"/>
          </w:rPr>
          <w:t>五、一般公共预算拨款支出预算表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_Toc32454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14</w:t>
        </w:r>
        <w:r w:rsidRPr="00774CED">
          <w:rPr>
            <w:rFonts w:ascii="仿宋" w:eastAsia="仿宋" w:hAnsi="仿宋" w:cs="宋体" w:hint="eastAsia"/>
            <w:sz w:val="36"/>
            <w:szCs w:val="36"/>
          </w:rPr>
          <w:fldChar w:fldCharType="end"/>
        </w:r>
      </w:hyperlink>
    </w:p>
    <w:p w:rsidR="0047245A" w:rsidRPr="00774CED" w14:paraId="57492C1F" w14:textId="77777777">
      <w:pPr>
        <w:pStyle w:val="TOC1"/>
        <w:tabs>
          <w:tab w:val="right" w:leader="dot" w:pos="8306"/>
        </w:tabs>
        <w:rPr>
          <w:rFonts w:ascii="仿宋" w:eastAsia="仿宋" w:hAnsi="仿宋" w:cs="宋体" w:hint="eastAsia"/>
          <w:sz w:val="36"/>
          <w:szCs w:val="36"/>
        </w:rPr>
      </w:pPr>
      <w:hyperlink w:anchor="_Toc29223" w:history="1">
        <w:r w:rsidRPr="00774CED">
          <w:rPr>
            <w:rFonts w:ascii="仿宋" w:eastAsia="仿宋" w:hAnsi="仿宋" w:cs="宋体" w:hint="eastAsia"/>
            <w:sz w:val="36"/>
            <w:szCs w:val="36"/>
          </w:rPr>
          <w:t>六、政府性基金预算拨款支出预算表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_Toc29223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15</w:t>
        </w:r>
        <w:r w:rsidRPr="00774CED">
          <w:rPr>
            <w:rFonts w:ascii="仿宋" w:eastAsia="仿宋" w:hAnsi="仿宋" w:cs="宋体" w:hint="eastAsia"/>
            <w:sz w:val="36"/>
            <w:szCs w:val="36"/>
          </w:rPr>
          <w:fldChar w:fldCharType="end"/>
        </w:r>
      </w:hyperlink>
    </w:p>
    <w:p w:rsidR="0047245A" w:rsidRPr="00774CED" w14:paraId="2D2E79C1" w14:textId="77777777">
      <w:pPr>
        <w:pStyle w:val="TOC1"/>
        <w:tabs>
          <w:tab w:val="right" w:leader="dot" w:pos="8306"/>
        </w:tabs>
        <w:rPr>
          <w:rFonts w:ascii="仿宋" w:eastAsia="仿宋" w:hAnsi="仿宋" w:cs="宋体" w:hint="eastAsia"/>
          <w:sz w:val="36"/>
          <w:szCs w:val="36"/>
        </w:rPr>
      </w:pPr>
      <w:hyperlink w:anchor="_Toc29140" w:history="1">
        <w:r w:rsidRPr="00774CED">
          <w:rPr>
            <w:rFonts w:ascii="仿宋" w:eastAsia="仿宋" w:hAnsi="仿宋" w:cs="宋体" w:hint="eastAsia"/>
            <w:sz w:val="36"/>
            <w:szCs w:val="36"/>
          </w:rPr>
          <w:t>七、国有资本经营预算拨款支出预算表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_Toc29140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16</w:t>
        </w:r>
        <w:r w:rsidRPr="00774CED">
          <w:rPr>
            <w:rFonts w:ascii="仿宋" w:eastAsia="仿宋" w:hAnsi="仿宋" w:cs="宋体" w:hint="eastAsia"/>
            <w:sz w:val="36"/>
            <w:szCs w:val="36"/>
          </w:rPr>
          <w:fldChar w:fldCharType="end"/>
        </w:r>
      </w:hyperlink>
    </w:p>
    <w:p w:rsidR="0047245A" w:rsidRPr="00774CED" w14:paraId="6B01A871" w14:textId="77777777">
      <w:pPr>
        <w:pStyle w:val="TOC1"/>
        <w:tabs>
          <w:tab w:val="right" w:leader="dot" w:pos="8306"/>
        </w:tabs>
        <w:rPr>
          <w:rFonts w:ascii="仿宋" w:eastAsia="仿宋" w:hAnsi="仿宋" w:cs="宋体" w:hint="eastAsia"/>
          <w:sz w:val="36"/>
          <w:szCs w:val="36"/>
        </w:rPr>
      </w:pPr>
      <w:hyperlink w:anchor="_Toc15567" w:history="1">
        <w:r w:rsidRPr="00774CED">
          <w:rPr>
            <w:rFonts w:ascii="仿宋" w:eastAsia="仿宋" w:hAnsi="仿宋" w:cs="宋体" w:hint="eastAsia"/>
            <w:sz w:val="36"/>
            <w:szCs w:val="36"/>
          </w:rPr>
          <w:t>八、一般公共预算支出经济分类情况表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_Toc15567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17</w:t>
        </w:r>
        <w:r w:rsidRPr="00774CED">
          <w:rPr>
            <w:rFonts w:ascii="仿宋" w:eastAsia="仿宋" w:hAnsi="仿宋" w:cs="宋体" w:hint="eastAsia"/>
            <w:sz w:val="36"/>
            <w:szCs w:val="36"/>
          </w:rPr>
          <w:fldChar w:fldCharType="end"/>
        </w:r>
      </w:hyperlink>
    </w:p>
    <w:p w:rsidR="0047245A" w:rsidRPr="00774CED" w14:paraId="39A7F442" w14:textId="77777777">
      <w:pPr>
        <w:pStyle w:val="TOC1"/>
        <w:tabs>
          <w:tab w:val="right" w:leader="dot" w:pos="8306"/>
        </w:tabs>
        <w:rPr>
          <w:rFonts w:ascii="仿宋" w:eastAsia="仿宋" w:hAnsi="仿宋" w:cs="宋体" w:hint="eastAsia"/>
          <w:sz w:val="36"/>
          <w:szCs w:val="36"/>
        </w:rPr>
      </w:pPr>
      <w:hyperlink w:anchor="_Toc14215" w:history="1">
        <w:r w:rsidRPr="00774CED">
          <w:rPr>
            <w:rFonts w:ascii="仿宋" w:eastAsia="仿宋" w:hAnsi="仿宋" w:cs="宋体" w:hint="eastAsia"/>
            <w:sz w:val="36"/>
            <w:szCs w:val="36"/>
          </w:rPr>
          <w:t>九、一般公共预算基本支出经济分类情况表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_Toc14215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18</w:t>
        </w:r>
        <w:r w:rsidRPr="00774CED">
          <w:rPr>
            <w:rFonts w:ascii="仿宋" w:eastAsia="仿宋" w:hAnsi="仿宋" w:cs="宋体" w:hint="eastAsia"/>
            <w:sz w:val="36"/>
            <w:szCs w:val="36"/>
          </w:rPr>
          <w:fldChar w:fldCharType="end"/>
        </w:r>
      </w:hyperlink>
    </w:p>
    <w:p w:rsidR="0047245A" w:rsidRPr="00774CED" w14:paraId="7B524F88" w14:textId="77777777">
      <w:pPr>
        <w:pStyle w:val="TOC1"/>
        <w:tabs>
          <w:tab w:val="right" w:leader="dot" w:pos="8306"/>
        </w:tabs>
        <w:rPr>
          <w:rFonts w:ascii="仿宋" w:eastAsia="仿宋" w:hAnsi="仿宋" w:cs="宋体" w:hint="eastAsia"/>
          <w:sz w:val="36"/>
          <w:szCs w:val="36"/>
        </w:rPr>
      </w:pPr>
      <w:hyperlink w:anchor="_Toc18262" w:history="1">
        <w:r w:rsidRPr="00774CED">
          <w:rPr>
            <w:rFonts w:ascii="仿宋" w:eastAsia="仿宋" w:hAnsi="仿宋" w:cs="宋体" w:hint="eastAsia"/>
            <w:sz w:val="36"/>
            <w:szCs w:val="36"/>
          </w:rPr>
          <w:t>十、一般公共预算“三公”经费支出预算表</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_Toc18262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19</w:t>
        </w:r>
        <w:r w:rsidRPr="00774CED">
          <w:rPr>
            <w:rFonts w:ascii="仿宋" w:eastAsia="仿宋" w:hAnsi="仿宋" w:cs="宋体" w:hint="eastAsia"/>
            <w:sz w:val="36"/>
            <w:szCs w:val="36"/>
          </w:rPr>
          <w:fldChar w:fldCharType="end"/>
        </w:r>
      </w:hyperlink>
    </w:p>
    <w:p w:rsidR="0047245A" w:rsidRPr="00774CED" w:rsidP="005643E0" w14:paraId="1FC20028" w14:textId="03BBEC66">
      <w:pPr>
        <w:pStyle w:val="TOC11"/>
        <w:rPr>
          <w:rFonts w:ascii="仿宋" w:eastAsia="仿宋" w:hAnsi="仿宋" w:hint="eastAsia"/>
        </w:rPr>
      </w:pPr>
      <w:hyperlink w:anchor="_Toc11315" w:history="1">
        <w:r w:rsidRPr="00774CED">
          <w:rPr>
            <w:rFonts w:ascii="仿宋" w:eastAsia="仿宋" w:hAnsi="仿宋" w:hint="eastAsia"/>
          </w:rPr>
          <w:t xml:space="preserve">第三部分 </w:t>
        </w:r>
        <w:r w:rsidRPr="00774CED">
          <w:rPr>
            <w:rStyle w:val="TOC110"/>
            <w:rFonts w:ascii="仿宋" w:eastAsia="仿宋" w:hAnsi="仿宋" w:hint="eastAsia"/>
            <w:b/>
            <w:bCs/>
          </w:rPr>
          <w:t>202</w:t>
        </w:r>
        <w:r w:rsidR="005604F0">
          <w:rPr>
            <w:rStyle w:val="TOC110"/>
            <w:rFonts w:ascii="仿宋" w:eastAsia="仿宋" w:hAnsi="仿宋" w:hint="eastAsia"/>
            <w:b/>
            <w:bCs/>
          </w:rPr>
          <w:t>5</w:t>
        </w:r>
        <w:r w:rsidRPr="00774CED">
          <w:rPr>
            <w:rStyle w:val="TOC110"/>
            <w:rFonts w:ascii="仿宋" w:eastAsia="仿宋" w:hAnsi="仿宋" w:hint="eastAsia"/>
            <w:b/>
            <w:bCs/>
          </w:rPr>
          <w:t>年度</w:t>
        </w:r>
        <w:r w:rsidRPr="00774CED" w:rsidR="000B5F12">
          <w:rPr>
            <w:rStyle w:val="TOC110"/>
            <w:rFonts w:ascii="仿宋" w:eastAsia="仿宋" w:hAnsi="仿宋" w:hint="eastAsia"/>
            <w:b/>
            <w:bCs/>
          </w:rPr>
          <w:t>部门</w:t>
        </w:r>
        <w:r w:rsidRPr="00774CED">
          <w:rPr>
            <w:rStyle w:val="TOC110"/>
            <w:rFonts w:ascii="仿宋" w:eastAsia="仿宋" w:hAnsi="仿宋" w:hint="eastAsia"/>
            <w:b/>
            <w:bCs/>
          </w:rPr>
          <w:t>预算情况说明</w:t>
        </w:r>
        <w:r w:rsidRPr="00774CED">
          <w:rPr>
            <w:rStyle w:val="TOC110"/>
            <w:rFonts w:ascii="仿宋" w:eastAsia="仿宋" w:hAnsi="仿宋" w:hint="eastAsia"/>
            <w:b/>
            <w:bCs/>
          </w:rPr>
          <w:tab/>
        </w:r>
        <w:r w:rsidRPr="00774CED">
          <w:rPr>
            <w:rStyle w:val="TOC110"/>
            <w:rFonts w:ascii="仿宋" w:eastAsia="仿宋" w:hAnsi="仿宋" w:hint="eastAsia"/>
            <w:b/>
            <w:bCs/>
          </w:rPr>
          <w:fldChar w:fldCharType="begin"/>
        </w:r>
        <w:r w:rsidRPr="00774CED">
          <w:rPr>
            <w:rStyle w:val="TOC110"/>
            <w:rFonts w:ascii="仿宋" w:eastAsia="仿宋" w:hAnsi="仿宋" w:hint="eastAsia"/>
            <w:b/>
            <w:bCs/>
          </w:rPr>
          <w:instrText xml:space="preserve"> PAGEREF _Toc11315 \h </w:instrText>
        </w:r>
        <w:r w:rsidRPr="00774CED">
          <w:rPr>
            <w:rStyle w:val="TOC110"/>
            <w:rFonts w:ascii="仿宋" w:eastAsia="仿宋" w:hAnsi="仿宋" w:hint="eastAsia"/>
            <w:b/>
            <w:bCs/>
          </w:rPr>
          <w:fldChar w:fldCharType="separate"/>
        </w:r>
        <w:r w:rsidRPr="00774CED">
          <w:rPr>
            <w:rStyle w:val="TOC110"/>
            <w:rFonts w:ascii="仿宋" w:eastAsia="仿宋" w:hAnsi="仿宋" w:hint="eastAsia"/>
            <w:b/>
            <w:bCs/>
          </w:rPr>
          <w:t>20</w:t>
        </w:r>
        <w:r w:rsidRPr="00774CED">
          <w:rPr>
            <w:rStyle w:val="TOC110"/>
            <w:rFonts w:ascii="仿宋" w:eastAsia="仿宋" w:hAnsi="仿宋" w:hint="eastAsia"/>
            <w:b/>
            <w:bCs/>
          </w:rPr>
          <w:fldChar w:fldCharType="end"/>
        </w:r>
      </w:hyperlink>
    </w:p>
    <w:p w:rsidR="0047245A" w:rsidRPr="00774CED" w14:paraId="708CB9CC" w14:textId="77777777">
      <w:pPr>
        <w:pStyle w:val="TOC1"/>
        <w:tabs>
          <w:tab w:val="right" w:leader="dot" w:pos="8306"/>
        </w:tabs>
        <w:rPr>
          <w:rFonts w:ascii="仿宋" w:eastAsia="仿宋" w:hAnsi="仿宋" w:cs="宋体" w:hint="eastAsia"/>
          <w:sz w:val="36"/>
          <w:szCs w:val="36"/>
        </w:rPr>
      </w:pPr>
      <w:hyperlink w:anchor="_Toc2074" w:history="1">
        <w:r w:rsidRPr="00774CED">
          <w:rPr>
            <w:rFonts w:ascii="仿宋" w:eastAsia="仿宋" w:hAnsi="仿宋" w:cs="宋体" w:hint="eastAsia"/>
            <w:sz w:val="36"/>
            <w:szCs w:val="36"/>
          </w:rPr>
          <w:t>一、预算收支总体情况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_Toc2074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21</w:t>
        </w:r>
        <w:r w:rsidRPr="00774CED">
          <w:rPr>
            <w:rFonts w:ascii="仿宋" w:eastAsia="仿宋" w:hAnsi="仿宋" w:cs="宋体" w:hint="eastAsia"/>
            <w:sz w:val="36"/>
            <w:szCs w:val="36"/>
          </w:rPr>
          <w:fldChar w:fldCharType="end"/>
        </w:r>
      </w:hyperlink>
    </w:p>
    <w:p w:rsidR="0047245A" w:rsidRPr="00774CED" w14:paraId="61C0BAF2" w14:textId="77777777">
      <w:pPr>
        <w:pStyle w:val="TOC1"/>
        <w:tabs>
          <w:tab w:val="right" w:leader="dot" w:pos="8306"/>
        </w:tabs>
        <w:rPr>
          <w:rFonts w:ascii="仿宋" w:eastAsia="仿宋" w:hAnsi="仿宋" w:cs="宋体" w:hint="eastAsia"/>
          <w:sz w:val="36"/>
          <w:szCs w:val="36"/>
        </w:rPr>
      </w:pPr>
      <w:hyperlink w:anchor="_Toc27039" w:history="1">
        <w:r w:rsidRPr="00774CED">
          <w:rPr>
            <w:rFonts w:ascii="仿宋" w:eastAsia="仿宋" w:hAnsi="仿宋" w:cs="宋体" w:hint="eastAsia"/>
            <w:sz w:val="36"/>
            <w:szCs w:val="36"/>
          </w:rPr>
          <w:t>二、一般公共预算拨款支出情况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_Toc27039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21</w:t>
        </w:r>
        <w:r w:rsidRPr="00774CED">
          <w:rPr>
            <w:rFonts w:ascii="仿宋" w:eastAsia="仿宋" w:hAnsi="仿宋" w:cs="宋体" w:hint="eastAsia"/>
            <w:sz w:val="36"/>
            <w:szCs w:val="36"/>
          </w:rPr>
          <w:fldChar w:fldCharType="end"/>
        </w:r>
      </w:hyperlink>
    </w:p>
    <w:p w:rsidR="0047245A" w:rsidRPr="00774CED" w14:paraId="39D0CF39" w14:textId="77777777">
      <w:pPr>
        <w:pStyle w:val="TOC1"/>
        <w:tabs>
          <w:tab w:val="right" w:leader="dot" w:pos="8306"/>
        </w:tabs>
        <w:rPr>
          <w:rFonts w:ascii="仿宋" w:eastAsia="仿宋" w:hAnsi="仿宋" w:cs="宋体" w:hint="eastAsia"/>
          <w:sz w:val="36"/>
          <w:szCs w:val="36"/>
        </w:rPr>
      </w:pPr>
      <w:hyperlink w:anchor="_Toc11149" w:history="1">
        <w:r w:rsidRPr="00774CED">
          <w:rPr>
            <w:rFonts w:ascii="仿宋" w:eastAsia="仿宋" w:hAnsi="仿宋" w:cs="宋体" w:hint="eastAsia"/>
            <w:sz w:val="36"/>
            <w:szCs w:val="36"/>
          </w:rPr>
          <w:t>三、政府性基金预算拨款支出情况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_Toc11149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23</w:t>
        </w:r>
        <w:r w:rsidRPr="00774CED">
          <w:rPr>
            <w:rFonts w:ascii="仿宋" w:eastAsia="仿宋" w:hAnsi="仿宋" w:cs="宋体" w:hint="eastAsia"/>
            <w:sz w:val="36"/>
            <w:szCs w:val="36"/>
          </w:rPr>
          <w:fldChar w:fldCharType="end"/>
        </w:r>
      </w:hyperlink>
    </w:p>
    <w:p w:rsidR="0047245A" w:rsidRPr="00774CED" w14:paraId="1AAA9A79" w14:textId="77777777">
      <w:pPr>
        <w:pStyle w:val="TOC1"/>
        <w:tabs>
          <w:tab w:val="right" w:leader="dot" w:pos="8306"/>
        </w:tabs>
        <w:rPr>
          <w:rFonts w:ascii="仿宋" w:eastAsia="仿宋" w:hAnsi="仿宋" w:hint="eastAsia"/>
        </w:rPr>
        <w:sectPr w:rsidSect="00485CB9">
          <w:footerReference w:type="default" r:id="rId8"/>
          <w:pgSz w:w="11906" w:h="16838"/>
          <w:pgMar w:top="1440" w:right="1800" w:bottom="1440" w:left="1800" w:header="851" w:footer="992" w:gutter="0"/>
          <w:pgNumType w:start="1"/>
          <w:cols w:space="425"/>
          <w:docGrid w:type="lines" w:linePitch="312"/>
        </w:sectPr>
      </w:pPr>
    </w:p>
    <w:p w:rsidR="0047245A" w:rsidRPr="00774CED" w14:paraId="1DF4C27D" w14:textId="77777777">
      <w:pPr>
        <w:pStyle w:val="TOC1"/>
        <w:tabs>
          <w:tab w:val="right" w:leader="dot" w:pos="8306"/>
        </w:tabs>
        <w:rPr>
          <w:rFonts w:ascii="仿宋" w:eastAsia="仿宋" w:hAnsi="仿宋" w:cs="宋体" w:hint="eastAsia"/>
          <w:sz w:val="36"/>
          <w:szCs w:val="36"/>
        </w:rPr>
      </w:pPr>
      <w:hyperlink w:anchor="_Toc8125" w:history="1">
        <w:r w:rsidRPr="00774CED">
          <w:rPr>
            <w:rFonts w:ascii="仿宋" w:eastAsia="仿宋" w:hAnsi="仿宋" w:cs="宋体" w:hint="eastAsia"/>
            <w:sz w:val="36"/>
            <w:szCs w:val="36"/>
          </w:rPr>
          <w:t>四、国有资本经营预算拨款支出情况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_Toc8125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23</w:t>
        </w:r>
        <w:r w:rsidRPr="00774CED">
          <w:rPr>
            <w:rFonts w:ascii="仿宋" w:eastAsia="仿宋" w:hAnsi="仿宋" w:cs="宋体" w:hint="eastAsia"/>
            <w:sz w:val="36"/>
            <w:szCs w:val="36"/>
          </w:rPr>
          <w:fldChar w:fldCharType="end"/>
        </w:r>
      </w:hyperlink>
    </w:p>
    <w:p w:rsidR="0047245A" w:rsidRPr="00774CED" w14:paraId="51D60788" w14:textId="50DB1F50">
      <w:pPr>
        <w:pStyle w:val="TOC1"/>
        <w:tabs>
          <w:tab w:val="right" w:leader="dot" w:pos="8306"/>
        </w:tabs>
        <w:rPr>
          <w:rFonts w:ascii="仿宋" w:eastAsia="仿宋" w:hAnsi="仿宋" w:cs="宋体" w:hint="eastAsia"/>
          <w:sz w:val="36"/>
          <w:szCs w:val="36"/>
        </w:rPr>
      </w:pPr>
      <w:hyperlink w:anchor="_Toc3310" w:history="1">
        <w:r w:rsidRPr="00774CED">
          <w:rPr>
            <w:rFonts w:ascii="仿宋" w:eastAsia="仿宋" w:hAnsi="仿宋" w:cs="宋体" w:hint="eastAsia"/>
            <w:sz w:val="36"/>
            <w:szCs w:val="36"/>
          </w:rPr>
          <w:t>五、一般公共预算</w:t>
        </w:r>
        <w:r w:rsidR="0038512C">
          <w:rPr>
            <w:rFonts w:ascii="仿宋" w:eastAsia="仿宋" w:hAnsi="仿宋" w:cs="宋体" w:hint="eastAsia"/>
            <w:sz w:val="36"/>
            <w:szCs w:val="36"/>
          </w:rPr>
          <w:t>拨款</w:t>
        </w:r>
        <w:r w:rsidRPr="00774CED">
          <w:rPr>
            <w:rFonts w:ascii="仿宋" w:eastAsia="仿宋" w:hAnsi="仿宋" w:cs="宋体" w:hint="eastAsia"/>
            <w:sz w:val="36"/>
            <w:szCs w:val="36"/>
          </w:rPr>
          <w:t>基本支出情况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_Toc3310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23</w:t>
        </w:r>
        <w:r w:rsidRPr="00774CED">
          <w:rPr>
            <w:rFonts w:ascii="仿宋" w:eastAsia="仿宋" w:hAnsi="仿宋" w:cs="宋体" w:hint="eastAsia"/>
            <w:sz w:val="36"/>
            <w:szCs w:val="36"/>
          </w:rPr>
          <w:fldChar w:fldCharType="end"/>
        </w:r>
      </w:hyperlink>
    </w:p>
    <w:p w:rsidR="0047245A" w:rsidRPr="00774CED" w14:paraId="1AEBC93F" w14:textId="77777777">
      <w:pPr>
        <w:pStyle w:val="TOC1"/>
        <w:tabs>
          <w:tab w:val="right" w:leader="dot" w:pos="8306"/>
        </w:tabs>
        <w:rPr>
          <w:rFonts w:ascii="仿宋" w:eastAsia="仿宋" w:hAnsi="仿宋" w:cs="宋体" w:hint="eastAsia"/>
          <w:sz w:val="36"/>
          <w:szCs w:val="36"/>
        </w:rPr>
      </w:pPr>
      <w:hyperlink w:anchor="_Toc16647" w:history="1">
        <w:r w:rsidRPr="00774CED">
          <w:rPr>
            <w:rFonts w:ascii="仿宋" w:eastAsia="仿宋" w:hAnsi="仿宋" w:cs="宋体" w:hint="eastAsia"/>
            <w:sz w:val="36"/>
            <w:szCs w:val="36"/>
          </w:rPr>
          <w:t>六、一般公共预算“三公”经费支出情况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_Toc16647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24</w:t>
        </w:r>
        <w:r w:rsidRPr="00774CED">
          <w:rPr>
            <w:rFonts w:ascii="仿宋" w:eastAsia="仿宋" w:hAnsi="仿宋" w:cs="宋体" w:hint="eastAsia"/>
            <w:sz w:val="36"/>
            <w:szCs w:val="36"/>
          </w:rPr>
          <w:fldChar w:fldCharType="end"/>
        </w:r>
      </w:hyperlink>
    </w:p>
    <w:p w:rsidR="0047245A" w:rsidRPr="00774CED" w14:paraId="62942B62" w14:textId="77777777">
      <w:pPr>
        <w:pStyle w:val="TOC1"/>
        <w:tabs>
          <w:tab w:val="right" w:leader="dot" w:pos="8306"/>
        </w:tabs>
        <w:rPr>
          <w:rFonts w:ascii="仿宋" w:eastAsia="仿宋" w:hAnsi="仿宋" w:cs="宋体" w:hint="eastAsia"/>
          <w:sz w:val="36"/>
          <w:szCs w:val="36"/>
        </w:rPr>
      </w:pPr>
      <w:hyperlink w:anchor="_Toc26347" w:history="1">
        <w:r w:rsidRPr="00774CED">
          <w:rPr>
            <w:rFonts w:ascii="仿宋" w:eastAsia="仿宋" w:hAnsi="仿宋" w:cs="宋体" w:hint="eastAsia"/>
            <w:sz w:val="36"/>
            <w:szCs w:val="36"/>
          </w:rPr>
          <w:t>七、预算绩效目标情况</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_Toc26347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25</w:t>
        </w:r>
        <w:r w:rsidRPr="00774CED">
          <w:rPr>
            <w:rFonts w:ascii="仿宋" w:eastAsia="仿宋" w:hAnsi="仿宋" w:cs="宋体" w:hint="eastAsia"/>
            <w:sz w:val="36"/>
            <w:szCs w:val="36"/>
          </w:rPr>
          <w:fldChar w:fldCharType="end"/>
        </w:r>
      </w:hyperlink>
    </w:p>
    <w:p w:rsidR="0047245A" w:rsidRPr="00774CED" w14:paraId="695142F7" w14:textId="77777777">
      <w:pPr>
        <w:pStyle w:val="TOC1"/>
        <w:tabs>
          <w:tab w:val="right" w:leader="dot" w:pos="8306"/>
        </w:tabs>
        <w:rPr>
          <w:rFonts w:ascii="仿宋" w:eastAsia="仿宋" w:hAnsi="仿宋" w:cs="宋体" w:hint="eastAsia"/>
          <w:sz w:val="36"/>
          <w:szCs w:val="36"/>
        </w:rPr>
      </w:pPr>
      <w:hyperlink w:anchor="_Toc20264" w:history="1">
        <w:r w:rsidRPr="00774CED">
          <w:rPr>
            <w:rFonts w:ascii="仿宋" w:eastAsia="仿宋" w:hAnsi="仿宋" w:cs="宋体" w:hint="eastAsia"/>
            <w:sz w:val="36"/>
            <w:szCs w:val="36"/>
          </w:rPr>
          <w:t>八、其他重要事项说明</w:t>
        </w:r>
        <w:r w:rsidRPr="00774CED">
          <w:rPr>
            <w:rFonts w:ascii="仿宋" w:eastAsia="仿宋" w:hAnsi="仿宋" w:cs="宋体" w:hint="eastAsia"/>
            <w:sz w:val="36"/>
            <w:szCs w:val="36"/>
          </w:rPr>
          <w:tab/>
        </w:r>
        <w:r w:rsidRPr="00774CED">
          <w:rPr>
            <w:rFonts w:ascii="仿宋" w:eastAsia="仿宋" w:hAnsi="仿宋" w:cs="宋体" w:hint="eastAsia"/>
            <w:sz w:val="36"/>
            <w:szCs w:val="36"/>
          </w:rPr>
          <w:fldChar w:fldCharType="begin"/>
        </w:r>
        <w:r w:rsidRPr="00774CED">
          <w:rPr>
            <w:rFonts w:ascii="仿宋" w:eastAsia="仿宋" w:hAnsi="仿宋" w:cs="宋体" w:hint="eastAsia"/>
            <w:sz w:val="36"/>
            <w:szCs w:val="36"/>
          </w:rPr>
          <w:instrText xml:space="preserve"> PAGEREF _Toc20264 \h </w:instrText>
        </w:r>
        <w:r w:rsidRPr="00774CED">
          <w:rPr>
            <w:rFonts w:ascii="仿宋" w:eastAsia="仿宋" w:hAnsi="仿宋" w:cs="宋体" w:hint="eastAsia"/>
            <w:sz w:val="36"/>
            <w:szCs w:val="36"/>
          </w:rPr>
          <w:fldChar w:fldCharType="separate"/>
        </w:r>
        <w:r w:rsidRPr="00774CED">
          <w:rPr>
            <w:rFonts w:ascii="仿宋" w:eastAsia="仿宋" w:hAnsi="仿宋" w:cs="宋体" w:hint="eastAsia"/>
            <w:sz w:val="36"/>
            <w:szCs w:val="36"/>
          </w:rPr>
          <w:t>31</w:t>
        </w:r>
        <w:r w:rsidRPr="00774CED">
          <w:rPr>
            <w:rFonts w:ascii="仿宋" w:eastAsia="仿宋" w:hAnsi="仿宋" w:cs="宋体" w:hint="eastAsia"/>
            <w:sz w:val="36"/>
            <w:szCs w:val="36"/>
          </w:rPr>
          <w:fldChar w:fldCharType="end"/>
        </w:r>
      </w:hyperlink>
    </w:p>
    <w:p w:rsidR="0047245A" w:rsidRPr="00774CED" w14:paraId="6D82DAF0" w14:textId="77777777">
      <w:pPr>
        <w:pStyle w:val="TOC1"/>
        <w:tabs>
          <w:tab w:val="right" w:leader="dot" w:pos="8306"/>
        </w:tabs>
        <w:rPr>
          <w:rFonts w:ascii="仿宋" w:eastAsia="仿宋" w:hAnsi="仿宋" w:cs="宋体" w:hint="eastAsia"/>
          <w:b/>
          <w:bCs/>
          <w:sz w:val="36"/>
          <w:szCs w:val="36"/>
        </w:rPr>
      </w:pPr>
      <w:r w:rsidRPr="00774CED">
        <w:rPr>
          <w:rFonts w:ascii="仿宋" w:eastAsia="仿宋" w:hAnsi="仿宋" w:hint="eastAsia"/>
          <w:b/>
          <w:sz w:val="36"/>
        </w:rPr>
        <w:t xml:space="preserve">第四部分 </w:t>
      </w:r>
      <w:hyperlink w:anchor="_Toc26473" w:history="1">
        <w:r w:rsidRPr="00774CED">
          <w:rPr>
            <w:rFonts w:ascii="仿宋" w:eastAsia="仿宋" w:hAnsi="仿宋" w:cs="宋体" w:hint="eastAsia"/>
            <w:b/>
            <w:bCs/>
            <w:sz w:val="36"/>
            <w:szCs w:val="36"/>
          </w:rPr>
          <w:t>名词解释</w:t>
        </w:r>
        <w:r w:rsidRPr="00774CED">
          <w:rPr>
            <w:rFonts w:ascii="仿宋" w:eastAsia="仿宋" w:hAnsi="仿宋" w:cs="宋体" w:hint="eastAsia"/>
            <w:b/>
            <w:bCs/>
            <w:sz w:val="36"/>
            <w:szCs w:val="36"/>
          </w:rPr>
          <w:tab/>
        </w:r>
        <w:r w:rsidRPr="00774CED">
          <w:rPr>
            <w:rFonts w:ascii="仿宋" w:eastAsia="仿宋" w:hAnsi="仿宋" w:cs="宋体" w:hint="eastAsia"/>
            <w:b/>
            <w:bCs/>
            <w:sz w:val="36"/>
            <w:szCs w:val="36"/>
          </w:rPr>
          <w:fldChar w:fldCharType="begin"/>
        </w:r>
        <w:r w:rsidRPr="00774CED">
          <w:rPr>
            <w:rFonts w:ascii="仿宋" w:eastAsia="仿宋" w:hAnsi="仿宋" w:cs="宋体" w:hint="eastAsia"/>
            <w:b/>
            <w:bCs/>
            <w:sz w:val="36"/>
            <w:szCs w:val="36"/>
          </w:rPr>
          <w:instrText xml:space="preserve"> PAGEREF _Toc26473 \h </w:instrText>
        </w:r>
        <w:r w:rsidRPr="00774CED">
          <w:rPr>
            <w:rFonts w:ascii="仿宋" w:eastAsia="仿宋" w:hAnsi="仿宋" w:cs="宋体" w:hint="eastAsia"/>
            <w:b/>
            <w:bCs/>
            <w:sz w:val="36"/>
            <w:szCs w:val="36"/>
          </w:rPr>
          <w:fldChar w:fldCharType="separate"/>
        </w:r>
        <w:r w:rsidRPr="00774CED">
          <w:rPr>
            <w:rFonts w:ascii="仿宋" w:eastAsia="仿宋" w:hAnsi="仿宋" w:cs="宋体" w:hint="eastAsia"/>
            <w:b/>
            <w:bCs/>
            <w:sz w:val="36"/>
            <w:szCs w:val="36"/>
          </w:rPr>
          <w:t>32</w:t>
        </w:r>
        <w:r w:rsidRPr="00774CED">
          <w:rPr>
            <w:rFonts w:ascii="仿宋" w:eastAsia="仿宋" w:hAnsi="仿宋" w:cs="宋体" w:hint="eastAsia"/>
            <w:b/>
            <w:bCs/>
            <w:sz w:val="36"/>
            <w:szCs w:val="36"/>
          </w:rPr>
          <w:fldChar w:fldCharType="end"/>
        </w:r>
      </w:hyperlink>
    </w:p>
    <w:p w:rsidR="0047245A" w14:paraId="501627E4" w14:textId="77777777">
      <w:pPr>
        <w:autoSpaceDE w:val="0"/>
        <w:autoSpaceDN w:val="0"/>
        <w:jc w:val="left"/>
        <w:rPr>
          <w:rFonts w:ascii="宋体" w:eastAsia="宋体" w:hAnsi="宋体" w:cs="宋体" w:hint="eastAsia"/>
          <w:kern w:val="0"/>
          <w:sz w:val="36"/>
          <w:szCs w:val="36"/>
        </w:rPr>
      </w:pPr>
      <w:r w:rsidRPr="00774CED">
        <w:rPr>
          <w:rFonts w:ascii="仿宋" w:eastAsia="仿宋" w:hAnsi="仿宋" w:cs="宋体" w:hint="eastAsia"/>
          <w:kern w:val="0"/>
          <w:sz w:val="36"/>
          <w:szCs w:val="36"/>
        </w:rPr>
        <w:fldChar w:fldCharType="end"/>
      </w:r>
    </w:p>
    <w:p w:rsidR="0047245A" w14:paraId="7D0535A8" w14:textId="77777777">
      <w:pPr>
        <w:pStyle w:val="TOC1"/>
        <w:sectPr w:rsidSect="00485CB9">
          <w:footerReference w:type="default" r:id="rId9"/>
          <w:pgSz w:w="11906" w:h="16838"/>
          <w:pgMar w:top="1440" w:right="1800" w:bottom="1440" w:left="1800" w:header="851" w:footer="992" w:gutter="0"/>
          <w:pgNumType w:start="1"/>
          <w:cols w:space="425"/>
          <w:docGrid w:type="lines" w:linePitch="312"/>
        </w:sectPr>
      </w:pPr>
    </w:p>
    <w:p w:rsidR="0047245A" w14:paraId="4BE87A72" w14:textId="77777777">
      <w:pPr>
        <w:widowControl/>
        <w:jc w:val="center"/>
        <w:rPr>
          <w:rFonts w:ascii="黑体" w:eastAsia="黑体" w:hAnsi="黑体" w:cs="Times New Roman" w:hint="eastAsia"/>
          <w:kern w:val="0"/>
          <w:sz w:val="36"/>
          <w:szCs w:val="36"/>
        </w:rPr>
      </w:pPr>
    </w:p>
    <w:p w:rsidR="0047245A" w14:paraId="30AE508A" w14:textId="77777777">
      <w:pPr>
        <w:widowControl/>
        <w:jc w:val="center"/>
        <w:rPr>
          <w:rFonts w:ascii="黑体" w:eastAsia="黑体" w:hAnsi="黑体" w:cs="Times New Roman" w:hint="eastAsia"/>
          <w:kern w:val="0"/>
          <w:sz w:val="36"/>
          <w:szCs w:val="36"/>
        </w:rPr>
      </w:pPr>
    </w:p>
    <w:p w:rsidR="0047245A" w14:paraId="2A5491E7" w14:textId="77777777">
      <w:pPr>
        <w:widowControl/>
        <w:jc w:val="center"/>
        <w:rPr>
          <w:rFonts w:ascii="黑体" w:eastAsia="黑体" w:hAnsi="黑体" w:cs="Times New Roman" w:hint="eastAsia"/>
          <w:kern w:val="0"/>
          <w:sz w:val="36"/>
          <w:szCs w:val="36"/>
        </w:rPr>
      </w:pPr>
    </w:p>
    <w:p w:rsidR="0047245A" w14:paraId="096E279C" w14:textId="77777777">
      <w:pPr>
        <w:widowControl/>
        <w:jc w:val="center"/>
        <w:rPr>
          <w:rFonts w:ascii="黑体" w:eastAsia="黑体" w:hAnsi="黑体" w:cs="Times New Roman" w:hint="eastAsia"/>
          <w:kern w:val="0"/>
          <w:sz w:val="36"/>
          <w:szCs w:val="36"/>
        </w:rPr>
      </w:pPr>
    </w:p>
    <w:p w:rsidR="0047245A" w14:paraId="61F2333B" w14:textId="77777777">
      <w:pPr>
        <w:widowControl/>
        <w:jc w:val="center"/>
        <w:rPr>
          <w:rFonts w:ascii="黑体" w:eastAsia="黑体" w:hAnsi="黑体" w:cs="Times New Roman" w:hint="eastAsia"/>
          <w:kern w:val="0"/>
          <w:sz w:val="36"/>
          <w:szCs w:val="36"/>
        </w:rPr>
      </w:pPr>
    </w:p>
    <w:p w:rsidR="0047245A" w14:paraId="23A45B0B" w14:textId="77777777">
      <w:pPr>
        <w:widowControl/>
        <w:jc w:val="center"/>
        <w:rPr>
          <w:rFonts w:ascii="黑体" w:eastAsia="黑体" w:hAnsi="黑体" w:cs="Times New Roman" w:hint="eastAsia"/>
          <w:kern w:val="0"/>
          <w:sz w:val="36"/>
          <w:szCs w:val="36"/>
        </w:rPr>
      </w:pPr>
    </w:p>
    <w:p w:rsidR="0047245A" w14:paraId="73456B17" w14:textId="77777777">
      <w:pPr>
        <w:widowControl/>
        <w:jc w:val="center"/>
        <w:rPr>
          <w:rFonts w:ascii="黑体" w:eastAsia="黑体" w:hAnsi="黑体" w:cs="Times New Roman" w:hint="eastAsia"/>
          <w:kern w:val="0"/>
          <w:sz w:val="36"/>
          <w:szCs w:val="36"/>
        </w:rPr>
      </w:pPr>
    </w:p>
    <w:p w:rsidR="0047245A" w14:paraId="492A571A" w14:textId="77777777">
      <w:pPr>
        <w:widowControl/>
        <w:jc w:val="center"/>
        <w:rPr>
          <w:rFonts w:ascii="黑体" w:eastAsia="黑体" w:hAnsi="黑体" w:cs="Times New Roman" w:hint="eastAsia"/>
          <w:kern w:val="0"/>
          <w:sz w:val="36"/>
          <w:szCs w:val="36"/>
        </w:rPr>
      </w:pPr>
    </w:p>
    <w:p w:rsidR="0047245A" w14:paraId="785C631F" w14:textId="77777777">
      <w:pPr>
        <w:widowControl/>
        <w:jc w:val="center"/>
        <w:rPr>
          <w:rFonts w:ascii="黑体" w:eastAsia="黑体" w:hAnsi="黑体" w:cs="Times New Roman" w:hint="eastAsia"/>
          <w:kern w:val="0"/>
          <w:sz w:val="36"/>
          <w:szCs w:val="36"/>
        </w:rPr>
      </w:pPr>
    </w:p>
    <w:p w:rsidR="0047245A" w14:paraId="0B53A4EF" w14:textId="77777777">
      <w:pPr>
        <w:widowControl/>
        <w:jc w:val="left"/>
        <w:rPr>
          <w:rFonts w:ascii="黑体" w:eastAsia="黑体" w:hAnsi="黑体" w:cs="Times New Roman" w:hint="eastAsia"/>
          <w:kern w:val="0"/>
          <w:sz w:val="36"/>
          <w:szCs w:val="36"/>
        </w:rPr>
      </w:pPr>
    </w:p>
    <w:p w:rsidR="0047245A" w14:paraId="22EB244A" w14:textId="77777777">
      <w:pPr>
        <w:pStyle w:val="BodyText"/>
        <w:jc w:val="left"/>
        <w:rPr>
          <w:rFonts w:ascii="黑体" w:eastAsia="黑体" w:hAnsi="黑体" w:hint="eastAsia"/>
          <w:sz w:val="56"/>
          <w:szCs w:val="36"/>
        </w:rPr>
      </w:pPr>
      <w:r>
        <w:rPr>
          <w:rFonts w:ascii="黑体" w:eastAsia="黑体" w:hAnsi="黑体" w:hint="eastAsia"/>
          <w:sz w:val="56"/>
          <w:szCs w:val="36"/>
        </w:rPr>
        <w:t>第一部分</w:t>
      </w:r>
      <w:r>
        <w:rPr>
          <w:rFonts w:ascii="黑体" w:eastAsia="黑体" w:hAnsi="黑体"/>
          <w:sz w:val="56"/>
          <w:szCs w:val="36"/>
        </w:rPr>
        <w:t xml:space="preserve"> </w:t>
      </w:r>
    </w:p>
    <w:p w:rsidR="0047245A" w14:paraId="31DBFEF4" w14:textId="77777777">
      <w:pPr>
        <w:pStyle w:val="Heading1"/>
        <w:jc w:val="center"/>
        <w:rPr>
          <w:b w:val="0"/>
          <w:bCs/>
          <w:sz w:val="56"/>
          <w:szCs w:val="56"/>
        </w:rPr>
      </w:pPr>
      <w:bookmarkStart w:id="0" w:name="_Toc3371"/>
      <w:r>
        <w:rPr>
          <w:rFonts w:hint="eastAsia"/>
          <w:b w:val="0"/>
          <w:bCs/>
          <w:sz w:val="56"/>
          <w:szCs w:val="56"/>
        </w:rPr>
        <w:t>部门概况</w:t>
      </w:r>
      <w:bookmarkEnd w:id="0"/>
    </w:p>
    <w:p w:rsidR="0047245A" w14:paraId="5FD0A8D6" w14:textId="77777777">
      <w:pPr>
        <w:widowControl/>
        <w:jc w:val="left"/>
        <w:rPr>
          <w:rFonts w:ascii="黑体" w:eastAsia="黑体" w:hAnsi="黑体" w:cs="Times New Roman" w:hint="eastAsia"/>
          <w:kern w:val="0"/>
          <w:sz w:val="36"/>
          <w:szCs w:val="36"/>
        </w:rPr>
      </w:pPr>
    </w:p>
    <w:p w:rsidR="0047245A" w14:paraId="62E9FD8B" w14:textId="77777777">
      <w:pPr>
        <w:widowControl/>
        <w:jc w:val="left"/>
        <w:rPr>
          <w:rFonts w:ascii="黑体" w:eastAsia="黑体" w:hAnsi="黑体" w:cs="Times New Roman" w:hint="eastAsia"/>
          <w:kern w:val="0"/>
          <w:sz w:val="36"/>
          <w:szCs w:val="36"/>
        </w:rPr>
        <w:sectPr w:rsidSect="00485CB9">
          <w:footerReference w:type="default" r:id="rId10"/>
          <w:pgSz w:w="11906" w:h="16838"/>
          <w:pgMar w:top="1440" w:right="1800" w:bottom="1440" w:left="1800" w:header="851" w:footer="992" w:gutter="0"/>
          <w:pgNumType w:start="1"/>
          <w:cols w:space="425"/>
          <w:docGrid w:type="lines" w:linePitch="312"/>
        </w:sectPr>
      </w:pPr>
    </w:p>
    <w:p w:rsidR="0047245A" w:rsidP="001D091C" w14:paraId="45B0BB9A" w14:textId="77777777">
      <w:pPr>
        <w:pStyle w:val="Heading1"/>
        <w:spacing w:before="0" w:after="0"/>
      </w:pPr>
      <w:bookmarkStart w:id="1" w:name="_Toc27605"/>
      <w:r>
        <w:rPr>
          <w:rFonts w:hint="eastAsia"/>
        </w:rPr>
        <w:t>一、部门主要职责</w:t>
      </w:r>
      <w:bookmarkEnd w:id="1"/>
    </w:p>
    <w:p w:rsidR="0047245A" w14:paraId="2819D152" w14:textId="77777777">
      <w:pPr>
        <w:tabs>
          <w:tab w:val="left" w:pos="7513"/>
        </w:tabs>
        <w:adjustRightInd w:val="0"/>
        <w:snapToGrid w:val="0"/>
        <w:spacing w:line="600" w:lineRule="exact"/>
        <w:ind w:firstLine="640" w:firstLineChars="200"/>
        <w:jc w:val="left"/>
        <w:rPr>
          <w:rFonts w:ascii="仿宋" w:eastAsia="仿宋" w:hAnsi="仿宋" w:hint="eastAsia"/>
          <w:sz w:val="32"/>
          <w:szCs w:val="32"/>
        </w:rPr>
      </w:pPr>
      <w:r>
        <w:rPr>
          <w:rFonts w:ascii="仿宋" w:eastAsia="仿宋" w:hAnsi="仿宋" w:hint="eastAsia"/>
          <w:sz w:val="32"/>
          <w:szCs w:val="32"/>
        </w:rPr>
        <w:t>晋江市司法局的主要职责是：</w:t>
        <w:br/>
        <w:t xml:space="preserve">    （一）承担全面依法治市有关问题的政策研究，协调有关方面提出全面依法治市中长期规划建议，负责全面依法治市有关重大决策部署督察工作。</w:t>
        <w:br/>
        <w:t xml:space="preserve">    （二）承担统筹规划法制工作的责任。协调有关方面提出政府规范性文件制定规划和年度工作计划的建议，负责跟踪了解各部门对政府规范性文件制定工作计划的落实情况，加强组织协调和督促指导，研究提出法制与改革决策相衔接的意见、措施。负责面向社会征集政府规范性文件制定项目的建议。</w:t>
        <w:br/>
        <w:t xml:space="preserve">    （三）负责起草或组织起草有关政府规范性文件制定。承办各部门报送政府规范性文件制定的审查工作。</w:t>
        <w:br/>
        <w:t xml:space="preserve">    （四）承办政府规范性文件制定的解释、评估工作。负责协调各部门实施法律、法规、规章中的有关争议和问题。承担政府规范性文件制定的清理、制定工作。负责政府规范性文件制定报备工作。承担统筹规划市政府规范性文件起草工作。承担市政府各部门规范性文件备案审查工作。承担市政府各部门报送市政府审议的规范性文件草案的审查工作。组织开展规范性文件清理工作。</w:t>
        <w:br/>
        <w:t xml:space="preserve">    （五）承担统筹推进法治政府建设的责任。指导、监督市政府各部门、各镇（街道）依法行政工作。负责综合协调行政执法、承担推进行政执法体制改革有关工作，推进严格规范公正文明执法。承担市政府依法管辖的行政复议案件工作，负责市政府行政诉讼、民事诉讼、行政赔偿等事项，指导、监督全市行政复议和行政应诉工作。承办市政府相关法律事务。</w:t>
        <w:br/>
        <w:t xml:space="preserve">    （六）承担统筹规划法治社会建设的责任。负责拟订法治宣传教育规划，组织实施普法宣传工作。推动人民参与和促进法治建设。指导依法治理和法治创建工作。指导调解工作和人民陪审员、人民监督员选任管理工作，指导、管理、推进司法所建设。</w:t>
        <w:br/>
        <w:t xml:space="preserve">    （七）指导、管理社区矫正工作。指导刑满释放人员帮教安置工作。</w:t>
        <w:br/>
        <w:t xml:space="preserve">    （八）负责拟订公共法律服务体系建设规划并指导实施，统筹和布局城乡、区域法律服务资源。指导、监督律师、法律援助、公证和基层法律服务管理工作。指导、联系相关行业协会。</w:t>
        <w:br/>
        <w:t xml:space="preserve">    （九）负责本系统执法执勤用车相关管理工作，指导、监督本系统财务、装备、设施、场所等保障工作。指导、协调司法行政系统信息化建设。</w:t>
        <w:br/>
        <w:t xml:space="preserve">    （十）规划、协调、指导法治人才队伍建设相关工作，指导、监督本系统队伍建设。指导全市司法行政外事工作。完成市委和市政府交办的其他任务。</w:t>
      </w:r>
    </w:p>
    <w:p w:rsidR="0047245A" w:rsidP="001D091C" w14:paraId="0180107B" w14:textId="77777777">
      <w:pPr>
        <w:pStyle w:val="Heading1"/>
        <w:spacing w:before="0" w:after="0"/>
      </w:pPr>
      <w:bookmarkStart w:id="2" w:name="_Toc24970"/>
      <w:r>
        <w:rPr>
          <w:rFonts w:hint="eastAsia"/>
        </w:rPr>
        <w:t>二、部门预算单位构成</w:t>
      </w:r>
      <w:bookmarkEnd w:id="2"/>
    </w:p>
    <w:p w:rsidR="0047245A" w14:paraId="2905026C"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
          <w:sz w:val="32"/>
        </w:rPr>
        <w:t>从预算单位构成看，晋江市司法局包括</w:t>
      </w:r>
      <w:r>
        <w:rPr>
          <w:rFonts w:ascii="Times New Roman" w:eastAsia="Times New Roman" w:hAnsi="Times New Roman" w:cs="Times New Roman"/>
          <w:sz w:val="32"/>
        </w:rPr>
        <w:t>10</w:t>
      </w:r>
      <w:r>
        <w:rPr>
          <w:rFonts w:ascii="仿宋" w:eastAsia="仿宋" w:hAnsi="仿宋" w:cs="仿宋"/>
          <w:sz w:val="32"/>
        </w:rPr>
        <w:t>个机关行政科室及</w:t>
      </w:r>
      <w:r>
        <w:rPr>
          <w:rFonts w:ascii="Times New Roman" w:eastAsia="Times New Roman" w:hAnsi="Times New Roman" w:cs="Times New Roman"/>
          <w:sz w:val="32"/>
        </w:rPr>
        <w:t>4</w:t>
      </w:r>
      <w:r>
        <w:rPr>
          <w:rFonts w:ascii="仿宋" w:eastAsia="仿宋" w:hAnsi="仿宋" w:cs="仿宋"/>
          <w:sz w:val="32"/>
        </w:rPr>
        <w:t>个下属单位，其中：列入</w:t>
      </w:r>
      <w:r>
        <w:rPr>
          <w:rFonts w:ascii="Times New Roman" w:eastAsia="Times New Roman" w:hAnsi="Times New Roman" w:cs="Times New Roman"/>
          <w:sz w:val="32"/>
        </w:rPr>
        <w:t>2025</w:t>
      </w:r>
      <w:r>
        <w:rPr>
          <w:rFonts w:ascii="仿宋" w:eastAsia="仿宋" w:hAnsi="仿宋" w:cs="仿宋"/>
          <w:sz w:val="32"/>
        </w:rPr>
        <w:t>年部门预算编制范围的单位详细情况见下表:</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140"/>
      </w:tblGrid>
      <w:tr w14:paraId="0B3A3638" w14:textId="77777777" w:rsidTr="004A6524">
        <w:tblPrEx>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520" w:type="dxa"/>
            <w:shd w:val="clear" w:color="auto" w:fill="auto"/>
          </w:tcPr>
          <w:p w:rsidR="00AA599D" w:rsidP="004A6524" w14:paraId="4061756B" w14:textId="77777777">
            <w:pPr>
              <w:tabs>
                <w:tab w:val="left" w:pos="7513"/>
              </w:tabs>
              <w:adjustRightInd w:val="0"/>
              <w:snapToGrid w:val="0"/>
              <w:spacing w:line="600" w:lineRule="exact"/>
              <w:jc w:val="center"/>
              <w:rPr>
                <w:rFonts w:ascii="仿宋" w:eastAsia="仿宋" w:hAnsi="仿宋" w:hint="eastAsia"/>
                <w:sz w:val="32"/>
                <w:szCs w:val="32"/>
              </w:rPr>
            </w:pPr>
            <w:r>
              <w:rPr>
                <w:rFonts w:ascii="仿宋" w:eastAsia="仿宋" w:hAnsi="仿宋" w:hint="eastAsia"/>
                <w:sz w:val="32"/>
                <w:szCs w:val="32"/>
              </w:rPr>
              <w:t>序号</w:t>
            </w:r>
          </w:p>
        </w:tc>
        <w:tc>
          <w:tcPr>
            <w:tcW w:w="6140" w:type="dxa"/>
            <w:shd w:val="clear" w:color="auto" w:fill="auto"/>
          </w:tcPr>
          <w:p w:rsidR="00AA599D" w:rsidP="004A6524" w14:paraId="75E271F2" w14:textId="77777777">
            <w:pPr>
              <w:tabs>
                <w:tab w:val="left" w:pos="7513"/>
              </w:tabs>
              <w:adjustRightInd w:val="0"/>
              <w:snapToGrid w:val="0"/>
              <w:spacing w:line="600" w:lineRule="exact"/>
              <w:jc w:val="center"/>
              <w:rPr>
                <w:rFonts w:ascii="仿宋" w:eastAsia="仿宋" w:hAnsi="仿宋" w:hint="eastAsia"/>
                <w:sz w:val="32"/>
                <w:szCs w:val="32"/>
              </w:rPr>
            </w:pPr>
            <w:r>
              <w:rPr>
                <w:rFonts w:ascii="仿宋" w:eastAsia="仿宋" w:hAnsi="仿宋" w:hint="eastAsia"/>
                <w:sz w:val="32"/>
                <w:szCs w:val="32"/>
              </w:rPr>
              <w:t>单位名称</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1</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晋江市司法局</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2</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晋江市司法局基层所</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3</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晋江市法律援助中心</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4</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晋江市行政复议应诉事务中心</w:t>
            </w:r>
          </w:p>
        </w:tc>
      </w:tr>
      <w:tr>
        <w:tblPrEx>
          <w:tblW w:w="7660" w:type="dxa"/>
          <w:jc w:val="center"/>
          <w:tblLayout w:type="fixed"/>
          <w:tblLook w:val="04A0"/>
        </w:tblPrEx>
        <w:trPr>
          <w:jc w:val="center"/>
        </w:trPr>
        <w:tc>
          <w:tcPr>
            <w:tcW w:w="1520" w:type="dxa"/>
            <w:shd w:val="clear" w:color="auto" w:fill="auto"/>
          </w:tcPr>
          <w:p>
            <w:pPr>
              <w:pageBreakBefore w:val="0"/>
              <w:spacing w:line="600" w:lineRule="exact"/>
              <w:jc w:val="center"/>
              <w:textAlignment w:val="auto"/>
            </w:pPr>
            <w:r>
              <w:rPr>
                <w:rFonts w:ascii="仿宋" w:eastAsia="仿宋" w:hAnsi="仿宋"/>
                <w:b w:val="0"/>
                <w:i w:val="0"/>
                <w:strike w:val="0"/>
                <w:color w:val="auto"/>
                <w:position w:val="-1"/>
                <w:sz w:val="32"/>
                <w:u w:val="none"/>
              </w:rPr>
              <w:t>5</w:t>
            </w:r>
          </w:p>
        </w:tc>
        <w:tc>
          <w:tcPr>
            <w:tcW w:w="6140" w:type="dxa"/>
            <w:shd w:val="clear" w:color="auto" w:fill="auto"/>
          </w:tcPr>
          <w:p>
            <w:pPr>
              <w:pageBreakBefore w:val="0"/>
              <w:spacing w:line="600" w:lineRule="exact"/>
              <w:jc w:val="left"/>
              <w:textAlignment w:val="auto"/>
            </w:pPr>
            <w:r>
              <w:rPr>
                <w:rFonts w:ascii="仿宋" w:eastAsia="仿宋" w:hAnsi="仿宋"/>
                <w:b w:val="0"/>
                <w:i w:val="0"/>
                <w:strike w:val="0"/>
                <w:color w:val="auto"/>
                <w:position w:val="-1"/>
                <w:sz w:val="32"/>
                <w:u w:val="none"/>
              </w:rPr>
              <w:t>福建省晋江市公证处</w:t>
            </w:r>
          </w:p>
        </w:tc>
      </w:tr>
    </w:tbl>
    <w:p w:rsidR="00E852AC" w:rsidRPr="00E852AC" w:rsidP="00E852AC" w14:paraId="13847209" w14:textId="34990FA6">
      <w:pPr>
        <w:spacing w:line="600" w:lineRule="exact"/>
        <w:jc w:val="center"/>
        <w:rPr>
          <w:rFonts w:ascii="仿宋" w:eastAsia="仿宋" w:hAnsi="仿宋" w:hint="eastAsia"/>
          <w:sz w:val="32"/>
          <w:szCs w:val="32"/>
        </w:rPr>
      </w:pPr>
      <w:r>
        <w:rPr>
          <w:rFonts w:ascii="仿宋" w:eastAsia="仿宋" w:hAnsi="仿宋" w:hint="eastAsia"/>
          <w:sz w:val="32"/>
          <w:szCs w:val="32"/>
        </w:rPr>
        <w:t xml:space="preserve"> </w:t>
      </w:r>
    </w:p>
    <w:p w:rsidR="0047245A" w:rsidP="001D091C" w14:paraId="36800D7B" w14:textId="77777777">
      <w:pPr>
        <w:pStyle w:val="Heading1"/>
        <w:spacing w:before="0" w:after="0"/>
      </w:pPr>
      <w:bookmarkStart w:id="3" w:name="_Toc13692"/>
      <w:r>
        <w:rPr>
          <w:rFonts w:hint="eastAsia"/>
        </w:rPr>
        <w:t>三、部门主要工作任务</w:t>
      </w:r>
      <w:bookmarkEnd w:id="3"/>
    </w:p>
    <w:p w:rsidR="0047245A" w14:paraId="6991EE7D"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晋江市司法局主要任务是：深入学习贯彻落实党的二十届三中全会精神，以严明的纪律、优良的素养、过硬的作风，扎实推进新时代全面依法治市和司法行政工作高质量发展，为全面推进中国式现代化晋江实践，谱写“晋江经验”新篇章提供坚实有力的法治保障。围绕上述任务，重点抓好以下工作：</w:t>
      </w:r>
      <w:r>
        <w:rPr>
          <w:sz w:val="32"/>
        </w:rPr>
        <w:cr/>
      </w:r>
      <w:r>
        <w:rPr>
          <w:rFonts w:ascii="仿宋" w:eastAsia="仿宋" w:hAnsi="仿宋" w:cs="仿宋"/>
          <w:sz w:val="32"/>
        </w:rPr>
        <w:t xml:space="preserve">    （一）坚持把牢司法行政政治方向。全面贯彻落实党的二十大及二十届三中全会精神，坚持不懈用习近平新时代中国特色社会主义思想凝心铸魂，以习近平法治思想为核心，坚定政治信仰，坚守法治理念，积极探索学习教育新形式，教育引导全体党员干部坚持做到以学铸魂、以学增智、以学正风、以学促干，以激发队伍活力、提升干部能力为中心，促进司法行政事业再上新台阶。全面加强基层司法所规范化建设，提升保障能力和水平，推动重心下移、力量下沉、保障下倾，提升基层创造力、凝聚力、战斗力，进一步夯实司法行政发展根基。持续深化我局干部绩效管理试点工作，通过优化考核途径、细化指标体系、强化结果运用，积极探索提升我局绩效管理试点工作的有效载体和途径。</w:t>
      </w:r>
      <w:r>
        <w:rPr>
          <w:sz w:val="32"/>
        </w:rPr>
        <w:cr/>
      </w:r>
      <w:r>
        <w:rPr>
          <w:rFonts w:ascii="仿宋" w:eastAsia="仿宋" w:hAnsi="仿宋" w:cs="仿宋"/>
          <w:sz w:val="32"/>
        </w:rPr>
        <w:t xml:space="preserve">    （二）全面构建依法治市崭新格局。聚力打造新时代法治城市标杆，坚持把党的领导贯穿法治建设全过程，深学笃行习近平法治思想，压实统抓全面依法治市责任，认真落实中央“一规划两纲要”及省市方案，扎实抓好晋江法治建设“一规划两方案”实施，着力加强镇（街道）法治建设工作督察，健全完善党政主要负责人述法评议制度，加快推进全面依法治市进程，让法治成为晋江高质量发展的鲜明底色。坚持创新发展“晋江经验”，持续擦亮“全国法治政府建设示范市”金字招牌，全面对标先进地区法治建设经验，加快提炼总结“晋江经验”中蕴含的法治意涵与法治精神，培育打造更多法治为民办实事项目和法治建设改革新亮点、新品牌，努力把晋江打造成为习近平法治思想生动实践地和精彩演绎地。扎实做好“八五”普法总结验收工作，着力增强普法针对性实效性，注重以案释法、以案普法，将普法融入立法、执法、司法过程，形成全方位、立体化、多层次的宣传格局。</w:t>
      </w:r>
      <w:r>
        <w:rPr>
          <w:sz w:val="32"/>
        </w:rPr>
        <w:cr/>
      </w:r>
      <w:r>
        <w:rPr>
          <w:rFonts w:ascii="仿宋" w:eastAsia="仿宋" w:hAnsi="仿宋" w:cs="仿宋"/>
          <w:sz w:val="32"/>
        </w:rPr>
        <w:t xml:space="preserve">    （三）加快推进法治政府生动实践。加强行政复议工作规范化建设，健全完善行政复议机制。加强行政应诉工作的监督指导，推动行政机关负责人既出庭又出声，确保行政机关负责人出庭应诉率</w:t>
      </w:r>
      <w:r>
        <w:rPr>
          <w:rFonts w:ascii="Times New Roman" w:eastAsia="Times New Roman" w:hAnsi="Times New Roman" w:cs="Times New Roman"/>
          <w:sz w:val="32"/>
        </w:rPr>
        <w:t>100</w:t>
      </w:r>
      <w:r>
        <w:rPr>
          <w:rFonts w:ascii="仿宋" w:eastAsia="仿宋" w:hAnsi="仿宋" w:cs="仿宋"/>
          <w:sz w:val="32"/>
        </w:rPr>
        <w:t>%，力争在年度考核中不失分。全面加强行政规范性文件监督管理，强化规范性文件全生命周期管理，坚持以合法性审查工作的“标准化、规范化、数字化”建设为突破口，创新行政合法性审查机制重塑，优化行政规范性文件项目化管理模式，切实履行政府决策“法治把关人”职责。全力护航经济社会高质量发展，坚持以市场主体法治需求为导向，加大营商环境制度供给力度，及时清理妨碍统一市场和公平竞争的政策文件，破除影响公平竞争、共同发展的制度障碍和隐性壁垒。持续优化民营企业发展环境，大力推行包容审慎监管执法，严格履行行政执法监督职能，健全完善行政执法协调监督体系，依法保护民营企业和企业家合法权益，以高水平法治赋能晋江民营企业高质量发展。</w:t>
      </w:r>
      <w:r>
        <w:rPr>
          <w:sz w:val="32"/>
        </w:rPr>
        <w:cr/>
      </w:r>
      <w:r>
        <w:rPr>
          <w:rFonts w:ascii="仿宋" w:eastAsia="仿宋" w:hAnsi="仿宋" w:cs="仿宋"/>
          <w:sz w:val="32"/>
        </w:rPr>
        <w:t xml:space="preserve">    （四）着力提升法治惠民供给能力。坚持一体发展、对标找差、补短强弱，大力推动公共法律服务实体、热线、网络"三大平台"融合发展。加快市公共法律服务中心实体平台提档升级，优化“掌上法律顾问“小程序平台服务质效，探索打造"互联网＋公共法律服务"新模式，确保人民群众方便快捷高效获取公共法律服务。着力提升公共法律服务水平，纵深推进“法律明白人”培育，积极推行“</w:t>
      </w:r>
      <w:r>
        <w:rPr>
          <w:rFonts w:ascii="Times New Roman" w:eastAsia="Times New Roman" w:hAnsi="Times New Roman" w:cs="Times New Roman"/>
          <w:sz w:val="32"/>
        </w:rPr>
        <w:t>1</w:t>
      </w:r>
      <w:r>
        <w:rPr>
          <w:rFonts w:ascii="仿宋" w:eastAsia="仿宋" w:hAnsi="仿宋" w:cs="仿宋"/>
          <w:sz w:val="32"/>
        </w:rPr>
        <w:t>名村（居）法律顾问”+“N名法律明白人”行动，采取集中培训、线上轮训的方式开展“法律明白人”培训活动，发挥“法律明白人”底子清、情况明、人员熟的优势常态化开展普法宣传，把法律法规送到群众身边，切实满足人民群众日益增长的法律服务需求。探索拓展公证工作的新领域和新业务，深化公证领域“放管服“改革，落实减证便民措施，拓展公证业务领域。抓好公证队伍建设，加大公证宣传力度，不断提高群众的知晓率和公证的影响力。着力扩大法律援助群众知晓率，做实做优“法援惠民生”系列服务，推进农民工、未成年人等特殊群体法律援助政策落实，畅通农民工欠薪法律援助绿色通道，实现应援尽援、应援优援。扎实开展法律援助案件质量评估，严格执行办案补贴与案件质量评估等次挂钩的规定，确保案件归档、卷宗管理与补贴发放规范化。</w:t>
      </w:r>
      <w:r>
        <w:rPr>
          <w:sz w:val="32"/>
        </w:rPr>
        <w:cr/>
      </w:r>
      <w:r>
        <w:rPr>
          <w:rFonts w:ascii="仿宋" w:eastAsia="仿宋" w:hAnsi="仿宋" w:cs="仿宋"/>
          <w:sz w:val="32"/>
        </w:rPr>
        <w:t xml:space="preserve">    （五）畅通矛盾纠纷多元化解渠道。巩固平安稳定良好态势。坚持和发展新时代“枫桥经验”，深入开展“千所（司法所）万会（调委会）大调解”专项行动，持续提升“一站式”矛盾纠纷调处中心建设水平。深入推进小区矛盾纠纷化解调处专项行动，强化矛盾纠纷排查预警，着力构建系统完备、无盲区、零死角的隐患排查机制，用好网格员、楼栋长、“五老”人员等群防群治力量，全面动态排查基层矛盾纠纷，及时发现风险隐患苗头。坚持普遍排查与重点排查、定期排查与专项排查相结合，聚焦房地产、经济金融、征地拆迁、劳动关系、教育卫生等重点领域，重点关注易引发“民转刑”案件矛盾纠纷和涉及群众切身利益、群众反映强烈的热点问题，研究深层次诱发因素，常态化开展风险研判预警，实现精确预测、精细预警、精准预防。健全完善市-镇（街道）-村（社区）-住宅小区四级调解网络联动新格局。加大业务培训力度，提高人民调解员依法调解的业务和能力水平。建立健全人民调解数据采集、录入机制，切实把各级人民调解组织队伍和案件信息采集到位、应录尽录。</w:t>
      </w:r>
      <w:r>
        <w:rPr>
          <w:sz w:val="32"/>
        </w:rPr>
        <w:cr/>
      </w:r>
      <w:r>
        <w:rPr>
          <w:rFonts w:ascii="仿宋" w:eastAsia="仿宋" w:hAnsi="仿宋" w:cs="仿宋"/>
          <w:sz w:val="32"/>
        </w:rPr>
        <w:t xml:space="preserve">    （六）持续巩固平安稳定良好态势。推进社区矫正规范化、精细化，稳步提升教育矫治实效；贯彻落实社区矫正中心标准化和智能化建设三年行动（</w:t>
      </w:r>
      <w:r>
        <w:rPr>
          <w:rFonts w:ascii="Times New Roman" w:eastAsia="Times New Roman" w:hAnsi="Times New Roman" w:cs="Times New Roman"/>
          <w:sz w:val="32"/>
        </w:rPr>
        <w:t>2024</w:t>
      </w:r>
      <w:r>
        <w:rPr>
          <w:rFonts w:ascii="仿宋" w:eastAsia="仿宋" w:hAnsi="仿宋" w:cs="仿宋"/>
          <w:sz w:val="32"/>
        </w:rPr>
        <w:t>-</w:t>
      </w:r>
      <w:r>
        <w:rPr>
          <w:rFonts w:ascii="Times New Roman" w:eastAsia="Times New Roman" w:hAnsi="Times New Roman" w:cs="Times New Roman"/>
          <w:sz w:val="32"/>
        </w:rPr>
        <w:t>2026</w:t>
      </w:r>
      <w:r>
        <w:rPr>
          <w:rFonts w:ascii="仿宋" w:eastAsia="仿宋" w:hAnsi="仿宋" w:cs="仿宋"/>
          <w:sz w:val="32"/>
        </w:rPr>
        <w:t>年），持续推进社区矫正中心标准化、智能化建设。强化社区矫正工作，充分发挥社区矫正委员会作用，确保《社区矫正法》全面贯彻实施。积极协调有关部门，实现社区矫正信息互联互通、社区矫正工作动态数据共建共享。积极引导社会力量参与社区矫正，完善心理矫治体系建设。深入推进刑罚执行一体化建设，大力提升社区矫正工作规范化水平。切实加强对社区矫正对象的日常监管，采取线上平台定位核查，线下实地走访点验相结合，坚决严防脱管漏管。每月开展社区矫正对象心理健康教育辅导讲座，帮助社区矫正对象摆脱心理障碍，降低再犯罪风险。定期召开社区矫正风险研判会，加大排查力度，及时消除安全隐患。加强监地衔接，推进教育改造与安置帮教工作一体化，突出分类管理、重点管控。持续做好结对帮教工作，压实安置帮教工作责任，对刑释人员和解矫人员进行登记造册、分类梳理，做到底数清，情况明。</w:t>
      </w:r>
    </w:p>
    <w:p w:rsidR="0047245A" w14:paraId="1E772434" w14:textId="77777777">
      <w:pPr>
        <w:widowControl/>
        <w:jc w:val="left"/>
        <w:rPr>
          <w:rFonts w:ascii="仿宋" w:eastAsia="仿宋" w:hAnsi="仿宋" w:cs="仿宋_GB2312" w:hint="eastAsia"/>
          <w:sz w:val="32"/>
          <w:szCs w:val="32"/>
        </w:rPr>
        <w:sectPr w:rsidSect="00485CB9">
          <w:pgSz w:w="11906" w:h="16838"/>
          <w:pgMar w:top="1440" w:right="1800" w:bottom="1440" w:left="1800" w:header="851" w:footer="992" w:gutter="0"/>
          <w:cols w:space="425"/>
          <w:docGrid w:type="lines" w:linePitch="312"/>
        </w:sectPr>
      </w:pPr>
    </w:p>
    <w:p w:rsidR="0047245A" w14:paraId="5BB49CDB" w14:textId="77777777">
      <w:pPr>
        <w:pStyle w:val="BodyText"/>
        <w:jc w:val="center"/>
        <w:rPr>
          <w:rFonts w:ascii="黑体" w:eastAsia="黑体" w:hAnsi="黑体" w:hint="eastAsia"/>
          <w:sz w:val="36"/>
          <w:szCs w:val="36"/>
        </w:rPr>
      </w:pPr>
    </w:p>
    <w:p w:rsidR="0047245A" w14:paraId="3AF25FB7" w14:textId="77777777">
      <w:pPr>
        <w:pStyle w:val="BodyText"/>
        <w:jc w:val="center"/>
        <w:rPr>
          <w:rFonts w:ascii="黑体" w:eastAsia="黑体" w:hAnsi="黑体" w:hint="eastAsia"/>
          <w:sz w:val="36"/>
          <w:szCs w:val="36"/>
        </w:rPr>
      </w:pPr>
    </w:p>
    <w:p w:rsidR="0047245A" w14:paraId="7F4EC75E" w14:textId="77777777">
      <w:pPr>
        <w:pStyle w:val="BodyText"/>
        <w:jc w:val="center"/>
        <w:rPr>
          <w:rFonts w:ascii="黑体" w:eastAsia="黑体" w:hAnsi="黑体" w:hint="eastAsia"/>
          <w:sz w:val="36"/>
          <w:szCs w:val="36"/>
        </w:rPr>
      </w:pPr>
    </w:p>
    <w:p w:rsidR="0047245A" w14:paraId="0C4363D4" w14:textId="77777777">
      <w:pPr>
        <w:pStyle w:val="BodyText"/>
        <w:jc w:val="center"/>
        <w:rPr>
          <w:rFonts w:ascii="黑体" w:eastAsia="黑体" w:hAnsi="黑体" w:hint="eastAsia"/>
          <w:sz w:val="36"/>
          <w:szCs w:val="36"/>
        </w:rPr>
      </w:pPr>
    </w:p>
    <w:p w:rsidR="0047245A" w14:paraId="1059671A" w14:textId="77777777">
      <w:pPr>
        <w:pStyle w:val="BodyText"/>
        <w:jc w:val="center"/>
        <w:rPr>
          <w:rFonts w:ascii="黑体" w:eastAsia="黑体" w:hAnsi="黑体" w:hint="eastAsia"/>
          <w:sz w:val="36"/>
          <w:szCs w:val="36"/>
        </w:rPr>
      </w:pPr>
    </w:p>
    <w:p w:rsidR="0047245A" w14:paraId="50D514EE" w14:textId="77777777">
      <w:pPr>
        <w:pStyle w:val="BodyText"/>
        <w:jc w:val="center"/>
        <w:rPr>
          <w:rFonts w:ascii="黑体" w:eastAsia="黑体" w:hAnsi="黑体" w:hint="eastAsia"/>
          <w:sz w:val="36"/>
          <w:szCs w:val="36"/>
        </w:rPr>
      </w:pPr>
    </w:p>
    <w:p w:rsidR="0047245A" w14:paraId="1990C90D" w14:textId="77777777">
      <w:pPr>
        <w:pStyle w:val="BodyText"/>
        <w:jc w:val="center"/>
        <w:rPr>
          <w:rFonts w:ascii="黑体" w:eastAsia="黑体" w:hAnsi="黑体" w:hint="eastAsia"/>
          <w:sz w:val="36"/>
          <w:szCs w:val="36"/>
        </w:rPr>
      </w:pPr>
    </w:p>
    <w:p w:rsidR="0047245A" w14:paraId="627DC259" w14:textId="77777777">
      <w:pPr>
        <w:pStyle w:val="BodyText"/>
        <w:jc w:val="center"/>
        <w:rPr>
          <w:rFonts w:ascii="黑体" w:eastAsia="黑体" w:hAnsi="黑体" w:hint="eastAsia"/>
          <w:sz w:val="36"/>
          <w:szCs w:val="36"/>
        </w:rPr>
      </w:pPr>
    </w:p>
    <w:p w:rsidR="0047245A" w14:paraId="0D95CD3E" w14:textId="77777777">
      <w:pPr>
        <w:pStyle w:val="BodyText"/>
        <w:jc w:val="left"/>
        <w:rPr>
          <w:rFonts w:ascii="黑体" w:eastAsia="黑体" w:hAnsi="黑体" w:hint="eastAsia"/>
          <w:sz w:val="56"/>
          <w:szCs w:val="36"/>
        </w:rPr>
      </w:pPr>
      <w:r>
        <w:rPr>
          <w:rFonts w:ascii="黑体" w:eastAsia="黑体" w:hAnsi="黑体" w:hint="eastAsia"/>
          <w:sz w:val="56"/>
          <w:szCs w:val="36"/>
        </w:rPr>
        <w:t>第二部分</w:t>
      </w:r>
      <w:r>
        <w:rPr>
          <w:rFonts w:ascii="黑体" w:eastAsia="黑体" w:hAnsi="黑体"/>
          <w:sz w:val="56"/>
          <w:szCs w:val="36"/>
        </w:rPr>
        <w:t xml:space="preserve"> </w:t>
      </w:r>
    </w:p>
    <w:p w:rsidR="0047245A" w14:paraId="46EF6F22" w14:textId="77777777">
      <w:pPr>
        <w:pStyle w:val="Heading1"/>
        <w:jc w:val="center"/>
        <w:rPr>
          <w:rFonts w:ascii="黑体" w:hAnsi="黑体" w:hint="eastAsia"/>
          <w:b w:val="0"/>
          <w:bCs/>
          <w:sz w:val="56"/>
          <w:szCs w:val="36"/>
        </w:rPr>
      </w:pPr>
      <w:bookmarkStart w:id="4" w:name="_Toc7139"/>
      <w:bookmarkEnd w:id="4"/>
      <w:r>
        <w:rPr>
          <w:rFonts w:ascii="Times New Roman" w:eastAsia="Times New Roman" w:hAnsi="Times New Roman" w:cs="Times New Roman"/>
          <w:sz w:val="56"/>
        </w:rPr>
        <w:t>2025</w:t>
      </w:r>
      <w:r>
        <w:rPr>
          <w:rFonts w:ascii="黑体" w:eastAsia="黑体" w:hAnsi="黑体" w:cs="黑体"/>
          <w:sz w:val="56"/>
        </w:rPr>
        <w:t>年度部门预算表</w:t>
      </w:r>
    </w:p>
    <w:p w:rsidR="0047245A" w14:paraId="6A873A40" w14:textId="77777777">
      <w:pPr>
        <w:pStyle w:val="BodyText"/>
        <w:rPr>
          <w:rFonts w:ascii="黑体" w:eastAsia="黑体" w:hAnsi="黑体" w:hint="eastAsia"/>
          <w:sz w:val="56"/>
          <w:szCs w:val="36"/>
        </w:rPr>
      </w:pPr>
    </w:p>
    <w:p w:rsidR="0047245A" w14:paraId="60D28D5A" w14:textId="77777777">
      <w:pPr>
        <w:widowControl/>
        <w:jc w:val="left"/>
        <w:rPr>
          <w:rFonts w:ascii="仿宋" w:eastAsia="仿宋" w:hAnsi="仿宋" w:cs="仿宋_GB2312" w:hint="eastAsia"/>
          <w:sz w:val="32"/>
          <w:szCs w:val="32"/>
        </w:rPr>
        <w:sectPr w:rsidSect="00485CB9">
          <w:pgSz w:w="11906" w:h="16838"/>
          <w:pgMar w:top="1440" w:right="1800" w:bottom="1440" w:left="1800" w:header="851" w:footer="992" w:gutter="0"/>
          <w:cols w:space="425"/>
          <w:docGrid w:type="lines" w:linePitch="312"/>
        </w:sectPr>
      </w:pPr>
    </w:p>
    <w:p w:rsidR="0047245A" w:rsidP="001D091C" w14:paraId="0885A950" w14:textId="77777777">
      <w:pPr>
        <w:pStyle w:val="Heading1"/>
        <w:spacing w:before="0" w:after="0"/>
      </w:pPr>
      <w:bookmarkStart w:id="5" w:name="_Toc32170"/>
      <w:r>
        <w:rPr>
          <w:rFonts w:hint="eastAsia"/>
        </w:rPr>
        <w:t>一、收支预算总表</w:t>
      </w:r>
      <w:bookmarkEnd w:id="5"/>
    </w:p>
    <w:p w:rsidR="0047245A" w14:paraId="0ABD1FF5" w14:textId="77777777">
      <w:pPr>
        <w:tabs>
          <w:tab w:val="left" w:pos="7513"/>
        </w:tabs>
        <w:adjustRightInd w:val="0"/>
        <w:snapToGrid w:val="0"/>
        <w:spacing w:line="600" w:lineRule="exact"/>
        <w:jc w:val="center"/>
        <w:rPr>
          <w:rFonts w:ascii="黑体" w:eastAsia="黑体" w:hAnsi="黑体"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年度收支预算总表</w:t>
      </w:r>
    </w:p>
    <w:p w:rsidR="0047245A" w14:paraId="147FAED5" w14:textId="77777777">
      <w:pPr>
        <w:tabs>
          <w:tab w:val="left" w:pos="7513"/>
        </w:tabs>
        <w:adjustRightInd w:val="0"/>
        <w:snapToGrid w:val="0"/>
        <w:spacing w:line="300" w:lineRule="exact"/>
        <w:jc w:val="right"/>
        <w:rPr>
          <w:rFonts w:ascii="宋体" w:eastAsia="宋体" w:hAnsi="宋体" w:cs="宋体" w:hint="eastAsia"/>
          <w:kern w:val="0"/>
          <w:sz w:val="22"/>
          <w:szCs w:val="24"/>
        </w:rPr>
      </w:pPr>
      <w:r>
        <w:rPr>
          <w:rFonts w:ascii="宋体" w:eastAsia="宋体" w:hAnsi="宋体" w:cs="宋体" w:hint="eastAsia"/>
          <w:kern w:val="0"/>
          <w:sz w:val="22"/>
          <w:szCs w:val="24"/>
        </w:rPr>
        <w:t>单位：万元</w:t>
      </w:r>
    </w:p>
    <w:tbl>
      <w:tblPr>
        <w:tblStyle w:val="TableGrid"/>
        <w:tblW w:w="0" w:type="auto"/>
        <w:tblLayout w:type="fixed"/>
        <w:tblLook w:val="04A0"/>
      </w:tblPr>
      <w:tblGrid>
        <w:gridCol w:w="2969"/>
        <w:gridCol w:w="1385"/>
        <w:gridCol w:w="2890"/>
        <w:gridCol w:w="1278"/>
      </w:tblGrid>
      <w:tr w14:paraId="77F25AA6" w14:textId="77777777">
        <w:tblPrEx>
          <w:tblW w:w="0" w:type="auto"/>
          <w:tblLayout w:type="fixed"/>
          <w:tblLook w:val="04A0"/>
        </w:tblPrEx>
        <w:trPr>
          <w:trHeight w:val="455"/>
        </w:trPr>
        <w:tc>
          <w:tcPr>
            <w:tcW w:w="4354" w:type="dxa"/>
            <w:gridSpan w:val="2"/>
            <w:vAlign w:val="center"/>
          </w:tcPr>
          <w:p w:rsidR="0047245A" w14:paraId="0162D708"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收入</w:t>
            </w:r>
          </w:p>
        </w:tc>
        <w:tc>
          <w:tcPr>
            <w:tcW w:w="4168" w:type="dxa"/>
            <w:gridSpan w:val="2"/>
            <w:vAlign w:val="center"/>
          </w:tcPr>
          <w:p w:rsidR="0047245A" w14:paraId="47E0037B"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支出</w:t>
            </w:r>
          </w:p>
        </w:tc>
      </w:tr>
      <w:tr w14:paraId="74BB2700" w14:textId="77777777">
        <w:tblPrEx>
          <w:tblW w:w="0" w:type="auto"/>
          <w:tblLayout w:type="fixed"/>
          <w:tblLook w:val="04A0"/>
        </w:tblPrEx>
        <w:trPr>
          <w:trHeight w:val="561"/>
        </w:trPr>
        <w:tc>
          <w:tcPr>
            <w:tcW w:w="2969" w:type="dxa"/>
            <w:vAlign w:val="center"/>
          </w:tcPr>
          <w:p w:rsidR="0047245A" w14:paraId="278C9D39"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项目</w:t>
            </w:r>
          </w:p>
        </w:tc>
        <w:tc>
          <w:tcPr>
            <w:tcW w:w="1385" w:type="dxa"/>
            <w:vAlign w:val="center"/>
          </w:tcPr>
          <w:p w:rsidR="0047245A" w14:paraId="5878648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c>
          <w:tcPr>
            <w:tcW w:w="2890" w:type="dxa"/>
            <w:vAlign w:val="center"/>
          </w:tcPr>
          <w:p w:rsidR="0047245A" w14:paraId="1DB6750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1278" w:type="dxa"/>
            <w:vAlign w:val="center"/>
          </w:tcPr>
          <w:p w:rsidR="0047245A" w14:paraId="7BB548EA"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4142.43</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四、财政专户管理资金收入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3504.71</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五、事业收入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六、事业单位经营收入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七、上级补助收入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八、附属单位上缴收入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341.96</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九、其他收入</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62.00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145.03</w:t>
            </w:r>
          </w:p>
        </w:tc>
      </w:tr>
      <w:tr>
        <w:tblPrEx>
          <w:tblW w:w="0" w:type="auto"/>
          <w:tblLayout w:type="fixed"/>
          <w:tblLook w:val="04A0"/>
        </w:tblPrEx>
        <w:tc>
          <w:tcPr>
            <w:tcW w:w="2969" w:type="dxa"/>
            <w:vAlign w:val="center"/>
          </w:tcPr>
          <w:p>
            <w:pPr>
              <w:pageBreakBefore w:val="0"/>
              <w:jc w:val="left"/>
              <w:textAlignment w:val="auto"/>
            </w:pPr>
            <w:r>
              <w:rPr>
                <w:rFonts w:ascii="宋体" w:eastAsia="宋体" w:hAnsi="宋体" w:cs="宋体"/>
                <w:b w:val="0"/>
                <w:i w:val="0"/>
                <w:strike w:val="0"/>
                <w:color w:val="auto"/>
                <w:position w:val="-1"/>
                <w:sz w:val="18"/>
                <w:u w:val="none"/>
              </w:rPr>
              <w:t>十、上年结转结余</w:t>
            </w:r>
          </w:p>
        </w:tc>
        <w:tc>
          <w:tcPr>
            <w:tcW w:w="13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212.73</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left"/>
              <w:textAlignment w:val="auto"/>
            </w:pPr>
          </w:p>
        </w:tc>
        <w:tc>
          <w:tcPr>
            <w:tcW w:w="1385" w:type="dxa"/>
            <w:vAlign w:val="center"/>
          </w:tcPr>
          <w:p>
            <w:pPr>
              <w:pageBreakBefore w:val="0"/>
              <w:jc w:val="right"/>
              <w:textAlignment w:val="auto"/>
            </w:pPr>
          </w:p>
        </w:tc>
        <w:tc>
          <w:tcPr>
            <w:tcW w:w="2890"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127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0" w:type="auto"/>
          <w:tblLayout w:type="fixed"/>
          <w:tblLook w:val="04A0"/>
        </w:tblPrEx>
        <w:tc>
          <w:tcPr>
            <w:tcW w:w="2969"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1385" w:type="dxa"/>
            <w:vAlign w:val="center"/>
          </w:tcPr>
          <w:p>
            <w:pPr>
              <w:pageBreakBefore w:val="0"/>
              <w:jc w:val="right"/>
              <w:textAlignment w:val="auto"/>
            </w:pPr>
            <w:r>
              <w:rPr>
                <w:rFonts w:ascii="宋体" w:eastAsia="宋体" w:hAnsi="宋体" w:cs="宋体"/>
                <w:b/>
                <w:i w:val="0"/>
                <w:strike w:val="0"/>
                <w:color w:val="auto"/>
                <w:position w:val="-1"/>
                <w:sz w:val="22"/>
                <w:u w:val="none"/>
              </w:rPr>
              <w:t>4204.43</w:t>
            </w:r>
          </w:p>
        </w:tc>
        <w:tc>
          <w:tcPr>
            <w:tcW w:w="2890"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1278" w:type="dxa"/>
            <w:vAlign w:val="center"/>
          </w:tcPr>
          <w:p>
            <w:pPr>
              <w:pageBreakBefore w:val="0"/>
              <w:jc w:val="right"/>
              <w:textAlignment w:val="auto"/>
            </w:pPr>
            <w:r>
              <w:rPr>
                <w:rFonts w:ascii="宋体" w:eastAsia="宋体" w:hAnsi="宋体" w:cs="宋体"/>
                <w:b/>
                <w:i w:val="0"/>
                <w:strike w:val="0"/>
                <w:color w:val="auto"/>
                <w:position w:val="-1"/>
                <w:sz w:val="22"/>
                <w:u w:val="none"/>
              </w:rPr>
              <w:t>4204.43</w:t>
            </w:r>
          </w:p>
        </w:tc>
      </w:tr>
    </w:tbl>
    <w:p w:rsidR="0047245A" w14:paraId="2396D03A" w14:textId="77777777">
      <w:pPr>
        <w:tabs>
          <w:tab w:val="left" w:pos="7513"/>
        </w:tabs>
        <w:adjustRightInd w:val="0"/>
        <w:snapToGrid w:val="0"/>
        <w:spacing w:line="600" w:lineRule="exact"/>
        <w:rPr>
          <w:rFonts w:ascii="黑体" w:eastAsia="黑体" w:hAnsi="黑体" w:hint="eastAsia"/>
          <w:sz w:val="32"/>
          <w:szCs w:val="32"/>
        </w:rPr>
        <w:sectPr w:rsidSect="00485CB9">
          <w:pgSz w:w="11906" w:h="16838"/>
          <w:pgMar w:top="1440" w:right="1800" w:bottom="1440" w:left="1800" w:header="851" w:footer="992" w:gutter="0"/>
          <w:cols w:space="425"/>
          <w:docGrid w:type="lines" w:linePitch="312"/>
        </w:sectPr>
      </w:pPr>
    </w:p>
    <w:p w:rsidR="0047245A" w14:paraId="6BBF1151" w14:textId="77777777">
      <w:pPr>
        <w:pStyle w:val="Heading1"/>
        <w:spacing w:before="0" w:after="0"/>
      </w:pPr>
      <w:bookmarkStart w:id="6" w:name="_Toc9802"/>
      <w:r>
        <w:rPr>
          <w:rFonts w:hint="eastAsia"/>
        </w:rPr>
        <w:t>二、收入预算总表</w:t>
      </w:r>
      <w:bookmarkEnd w:id="6"/>
    </w:p>
    <w:p w:rsidR="0047245A" w14:paraId="1C083EDF"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年度收入预算总表</w:t>
      </w:r>
    </w:p>
    <w:p w:rsidR="0047245A" w14:paraId="0360C0F7" w14:textId="77777777">
      <w:pPr>
        <w:tabs>
          <w:tab w:val="left" w:pos="7513"/>
        </w:tabs>
        <w:adjustRightInd w:val="0"/>
        <w:snapToGrid w:val="0"/>
        <w:spacing w:line="300" w:lineRule="exact"/>
        <w:jc w:val="right"/>
        <w:rPr>
          <w:rFonts w:ascii="仿宋" w:eastAsia="仿宋" w:hAnsi="仿宋" w:hint="eastAsia"/>
          <w:sz w:val="18"/>
          <w:szCs w:val="18"/>
        </w:rPr>
      </w:pPr>
      <w:r>
        <w:rPr>
          <w:rFonts w:ascii="宋体" w:eastAsia="宋体" w:hAnsi="宋体" w:cs="宋体" w:hint="eastAsia"/>
          <w:kern w:val="0"/>
          <w:sz w:val="20"/>
          <w:szCs w:val="20"/>
        </w:rPr>
        <w:t>单位：万元</w:t>
      </w:r>
    </w:p>
    <w:tbl>
      <w:tblPr>
        <w:tblStyle w:val="TableGrid"/>
        <w:tblW w:w="5000" w:type="pct"/>
        <w:tblLayout w:type="fixed"/>
        <w:tblLook w:val="04A0"/>
      </w:tblPr>
      <w:tblGrid>
        <w:gridCol w:w="947"/>
        <w:gridCol w:w="3133"/>
        <w:gridCol w:w="1303"/>
        <w:gridCol w:w="1199"/>
        <w:gridCol w:w="1159"/>
        <w:gridCol w:w="1100"/>
        <w:gridCol w:w="1119"/>
        <w:gridCol w:w="879"/>
        <w:gridCol w:w="990"/>
        <w:gridCol w:w="879"/>
        <w:gridCol w:w="950"/>
        <w:gridCol w:w="821"/>
        <w:gridCol w:w="875"/>
      </w:tblGrid>
      <w:tr w14:paraId="48BA592D" w14:textId="77777777">
        <w:tblPrEx>
          <w:tblW w:w="5000" w:type="pct"/>
          <w:tblLayout w:type="fixed"/>
          <w:tblLook w:val="04A0"/>
        </w:tblPrEx>
        <w:tc>
          <w:tcPr>
            <w:tcW w:w="308" w:type="pct"/>
            <w:vAlign w:val="center"/>
          </w:tcPr>
          <w:p w:rsidR="0047245A" w14:paraId="31D76FF0"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kern w:val="0"/>
                <w:sz w:val="18"/>
                <w:szCs w:val="18"/>
              </w:rPr>
              <w:t>科目编码</w:t>
            </w:r>
          </w:p>
        </w:tc>
        <w:tc>
          <w:tcPr>
            <w:tcW w:w="1019" w:type="pct"/>
            <w:vAlign w:val="center"/>
          </w:tcPr>
          <w:p w:rsidR="0047245A" w14:paraId="30EE2A79"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kern w:val="0"/>
                <w:sz w:val="18"/>
                <w:szCs w:val="18"/>
              </w:rPr>
              <w:t>科目名称</w:t>
            </w:r>
          </w:p>
        </w:tc>
        <w:tc>
          <w:tcPr>
            <w:tcW w:w="423" w:type="pct"/>
            <w:vAlign w:val="center"/>
          </w:tcPr>
          <w:p w:rsidR="0047245A" w14:paraId="3BE02718" w14:textId="5F5A4282">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小</w:t>
            </w:r>
            <w:r w:rsidR="006644A8">
              <w:rPr>
                <w:rFonts w:ascii="宋体" w:eastAsia="宋体" w:hAnsi="宋体" w:cs="宋体" w:hint="eastAsia"/>
                <w:b/>
                <w:bCs/>
                <w:color w:val="000000"/>
                <w:kern w:val="0"/>
                <w:sz w:val="18"/>
                <w:szCs w:val="18"/>
              </w:rPr>
              <w:t>计</w:t>
            </w:r>
          </w:p>
        </w:tc>
        <w:tc>
          <w:tcPr>
            <w:tcW w:w="390" w:type="pct"/>
            <w:vAlign w:val="center"/>
          </w:tcPr>
          <w:p w:rsidR="0047245A" w14:paraId="214893F8"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一般公共预算拨款收入</w:t>
            </w:r>
          </w:p>
        </w:tc>
        <w:tc>
          <w:tcPr>
            <w:tcW w:w="377" w:type="pct"/>
            <w:vAlign w:val="center"/>
          </w:tcPr>
          <w:p w:rsidR="0047245A" w14:paraId="7861592C"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政府性基金预算拨款收入</w:t>
            </w:r>
          </w:p>
        </w:tc>
        <w:tc>
          <w:tcPr>
            <w:tcW w:w="358" w:type="pct"/>
            <w:vAlign w:val="center"/>
          </w:tcPr>
          <w:p w:rsidR="0047245A" w14:paraId="49A6E325"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国有资本经营预算拨款收入</w:t>
            </w:r>
          </w:p>
        </w:tc>
        <w:tc>
          <w:tcPr>
            <w:tcW w:w="364" w:type="pct"/>
            <w:vAlign w:val="center"/>
          </w:tcPr>
          <w:p w:rsidR="0047245A" w14:paraId="2264ED8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财政专户管理资金收入</w:t>
            </w:r>
          </w:p>
        </w:tc>
        <w:tc>
          <w:tcPr>
            <w:tcW w:w="286" w:type="pct"/>
            <w:vAlign w:val="center"/>
          </w:tcPr>
          <w:p w:rsidR="0047245A" w14:paraId="14F8AA16"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事业</w:t>
            </w:r>
          </w:p>
          <w:p w:rsidR="0047245A" w14:paraId="22A1CC42"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收入</w:t>
            </w:r>
          </w:p>
        </w:tc>
        <w:tc>
          <w:tcPr>
            <w:tcW w:w="322" w:type="pct"/>
            <w:vAlign w:val="center"/>
          </w:tcPr>
          <w:p w:rsidR="0047245A" w14:paraId="3425D7A5"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事业单位经营收入</w:t>
            </w:r>
          </w:p>
        </w:tc>
        <w:tc>
          <w:tcPr>
            <w:tcW w:w="286" w:type="pct"/>
            <w:vAlign w:val="center"/>
          </w:tcPr>
          <w:p w:rsidR="0047245A" w14:paraId="2ACE9C5A"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上级补助收入</w:t>
            </w:r>
          </w:p>
        </w:tc>
        <w:tc>
          <w:tcPr>
            <w:tcW w:w="309" w:type="pct"/>
            <w:vAlign w:val="center"/>
          </w:tcPr>
          <w:p w:rsidR="0047245A" w14:paraId="5350E02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附属单位上缴收入</w:t>
            </w:r>
          </w:p>
        </w:tc>
        <w:tc>
          <w:tcPr>
            <w:tcW w:w="267" w:type="pct"/>
            <w:vAlign w:val="center"/>
          </w:tcPr>
          <w:p w:rsidR="0047245A" w14:paraId="60B3AECD" w14:textId="77777777">
            <w:pPr>
              <w:tabs>
                <w:tab w:val="left" w:pos="7513"/>
              </w:tabs>
              <w:adjustRightInd w:val="0"/>
              <w:snapToGrid w:val="0"/>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其他</w:t>
            </w:r>
          </w:p>
          <w:p w:rsidR="0047245A" w14:paraId="6845D3A0"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收入</w:t>
            </w:r>
          </w:p>
        </w:tc>
        <w:tc>
          <w:tcPr>
            <w:tcW w:w="285" w:type="pct"/>
            <w:vAlign w:val="center"/>
          </w:tcPr>
          <w:p w:rsidR="0047245A" w14:paraId="59D48334" w14:textId="77777777">
            <w:pPr>
              <w:tabs>
                <w:tab w:val="left" w:pos="7513"/>
              </w:tabs>
              <w:adjustRightInd w:val="0"/>
              <w:snapToGrid w:val="0"/>
              <w:jc w:val="center"/>
              <w:rPr>
                <w:rFonts w:ascii="仿宋" w:eastAsia="仿宋" w:hAnsi="仿宋" w:hint="eastAsia"/>
                <w:sz w:val="18"/>
                <w:szCs w:val="18"/>
              </w:rPr>
            </w:pPr>
            <w:r>
              <w:rPr>
                <w:rFonts w:ascii="宋体" w:eastAsia="宋体" w:hAnsi="宋体" w:cs="宋体" w:hint="eastAsia"/>
                <w:b/>
                <w:bCs/>
                <w:color w:val="000000"/>
                <w:kern w:val="0"/>
                <w:sz w:val="18"/>
                <w:szCs w:val="18"/>
              </w:rPr>
              <w:t>上年结转结余</w:t>
            </w:r>
          </w:p>
        </w:tc>
      </w:tr>
      <w:tr>
        <w:tblPrEx>
          <w:tblW w:w="5000" w:type="pct"/>
          <w:tblLayout w:type="fixed"/>
          <w:tblLook w:val="04A0"/>
        </w:tblPrEx>
        <w:tc>
          <w:tcPr>
            <w:tcW w:w="308"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3" w:type="dxa"/>
            <w:vAlign w:val="center"/>
          </w:tcPr>
          <w:p>
            <w:pPr>
              <w:pageBreakBefore w:val="0"/>
              <w:jc w:val="right"/>
              <w:textAlignment w:val="auto"/>
            </w:pPr>
            <w:r>
              <w:rPr>
                <w:rFonts w:ascii="宋体" w:eastAsia="宋体" w:hAnsi="宋体" w:cs="宋体"/>
                <w:b/>
                <w:i w:val="0"/>
                <w:strike w:val="0"/>
                <w:color w:val="auto"/>
                <w:position w:val="-1"/>
                <w:sz w:val="18"/>
                <w:u w:val="none"/>
              </w:rPr>
              <w:t>4204.43</w:t>
            </w:r>
          </w:p>
        </w:tc>
        <w:tc>
          <w:tcPr>
            <w:tcW w:w="390" w:type="dxa"/>
            <w:vAlign w:val="center"/>
          </w:tcPr>
          <w:p>
            <w:pPr>
              <w:pageBreakBefore w:val="0"/>
              <w:jc w:val="right"/>
              <w:textAlignment w:val="auto"/>
            </w:pPr>
            <w:r>
              <w:rPr>
                <w:rFonts w:ascii="宋体" w:eastAsia="宋体" w:hAnsi="宋体" w:cs="宋体"/>
                <w:b/>
                <w:i w:val="0"/>
                <w:strike w:val="0"/>
                <w:color w:val="auto"/>
                <w:position w:val="-1"/>
                <w:sz w:val="18"/>
                <w:u w:val="none"/>
              </w:rPr>
              <w:t>4142.43</w:t>
            </w:r>
          </w:p>
        </w:tc>
        <w:tc>
          <w:tcPr>
            <w:tcW w:w="377"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i w:val="0"/>
                <w:strike w:val="0"/>
                <w:color w:val="auto"/>
                <w:position w:val="-1"/>
                <w:sz w:val="18"/>
                <w:u w:val="none"/>
              </w:rPr>
              <w:t>62.00</w:t>
            </w:r>
          </w:p>
        </w:tc>
        <w:tc>
          <w:tcPr>
            <w:tcW w:w="285" w:type="dxa"/>
            <w:vAlign w:val="center"/>
          </w:tcPr>
          <w:p>
            <w:pPr>
              <w:pageBreakBefore w:val="0"/>
              <w:jc w:val="right"/>
              <w:textAlignment w:val="auto"/>
            </w:pPr>
            <w:r>
              <w:rPr>
                <w:rFonts w:ascii="宋体" w:eastAsia="宋体" w:hAnsi="宋体" w:cs="宋体"/>
                <w:b/>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1742.06</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1742.06</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2040602</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一般行政管理事务</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330.00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330.00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2040604</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基层司法业务</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120.00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120.00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2040605</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普法宣传</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309.00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309.00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2040606</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律师管理</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173.50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173.50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2040607</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公共法律服务</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167.00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145.00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22.00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2040610</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社区矫正</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349.00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349.00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2040612</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法治建设</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67.50</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67.50</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2040650</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事业运行</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246.65</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206.65</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40.00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2080505</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机关事业单位基本养老保险缴费支出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227.98</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227.98</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2080506</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机关事业单位职业年金缴费支出</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113.98</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113.98</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行政单位医疗</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82.26</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82.26</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2101102</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事业单位医疗</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7.45</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7.45</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2101103</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公务员医疗补助</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55.32</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55.32</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5000" w:type="pct"/>
          <w:tblLayout w:type="fixed"/>
          <w:tblLook w:val="04A0"/>
        </w:tblPrEx>
        <w:tc>
          <w:tcPr>
            <w:tcW w:w="308" w:type="dxa"/>
            <w:vAlign w:val="center"/>
          </w:tcPr>
          <w:p>
            <w:pPr>
              <w:pageBreakBefore w:val="0"/>
              <w:jc w:val="left"/>
              <w:textAlignment w:val="auto"/>
            </w:pPr>
            <w:r>
              <w:rPr>
                <w:rFonts w:ascii="宋体" w:eastAsia="宋体" w:hAnsi="宋体" w:cs="宋体"/>
                <w:b w:val="0"/>
                <w:i w:val="0"/>
                <w:strike w:val="0"/>
                <w:color w:val="auto"/>
                <w:position w:val="-1"/>
                <w:sz w:val="18"/>
                <w:u w:val="none"/>
              </w:rPr>
              <w:t>2210201</w:t>
            </w:r>
          </w:p>
        </w:tc>
        <w:tc>
          <w:tcPr>
            <w:tcW w:w="1019" w:type="dxa"/>
            <w:vAlign w:val="center"/>
          </w:tcPr>
          <w:p>
            <w:pPr>
              <w:pageBreakBefore w:val="0"/>
              <w:jc w:val="left"/>
              <w:textAlignment w:val="auto"/>
            </w:pPr>
            <w:r>
              <w:rPr>
                <w:rFonts w:ascii="宋体" w:eastAsia="宋体" w:hAnsi="宋体" w:cs="宋体"/>
                <w:b w:val="0"/>
                <w:i w:val="0"/>
                <w:strike w:val="0"/>
                <w:color w:val="auto"/>
                <w:position w:val="-1"/>
                <w:sz w:val="18"/>
                <w:u w:val="none"/>
              </w:rPr>
              <w:t>住房公积金</w:t>
            </w:r>
          </w:p>
        </w:tc>
        <w:tc>
          <w:tcPr>
            <w:tcW w:w="423" w:type="dxa"/>
            <w:vAlign w:val="center"/>
          </w:tcPr>
          <w:p>
            <w:pPr>
              <w:pageBreakBefore w:val="0"/>
              <w:jc w:val="right"/>
              <w:textAlignment w:val="auto"/>
            </w:pPr>
            <w:r>
              <w:rPr>
                <w:rFonts w:ascii="宋体" w:eastAsia="宋体" w:hAnsi="宋体" w:cs="宋体"/>
                <w:b w:val="0"/>
                <w:i w:val="0"/>
                <w:strike w:val="0"/>
                <w:color w:val="auto"/>
                <w:position w:val="-1"/>
                <w:sz w:val="18"/>
                <w:u w:val="none"/>
              </w:rPr>
              <w:t>212.73</w:t>
            </w:r>
          </w:p>
        </w:tc>
        <w:tc>
          <w:tcPr>
            <w:tcW w:w="390" w:type="dxa"/>
            <w:vAlign w:val="center"/>
          </w:tcPr>
          <w:p>
            <w:pPr>
              <w:pageBreakBefore w:val="0"/>
              <w:jc w:val="right"/>
              <w:textAlignment w:val="auto"/>
            </w:pPr>
            <w:r>
              <w:rPr>
                <w:rFonts w:ascii="宋体" w:eastAsia="宋体" w:hAnsi="宋体" w:cs="宋体"/>
                <w:b w:val="0"/>
                <w:i w:val="0"/>
                <w:strike w:val="0"/>
                <w:color w:val="auto"/>
                <w:position w:val="-1"/>
                <w:sz w:val="18"/>
                <w:u w:val="none"/>
              </w:rPr>
              <w:t>212.73</w:t>
            </w:r>
          </w:p>
        </w:tc>
        <w:tc>
          <w:tcPr>
            <w:tcW w:w="37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58"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64"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22"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309"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67"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285"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bl>
    <w:p w:rsidR="0047245A" w14:paraId="16A3C42E" w14:textId="77777777">
      <w:pPr>
        <w:tabs>
          <w:tab w:val="left" w:pos="7513"/>
        </w:tabs>
        <w:adjustRightInd w:val="0"/>
        <w:snapToGrid w:val="0"/>
        <w:spacing w:line="600" w:lineRule="exact"/>
        <w:rPr>
          <w:rFonts w:ascii="仿宋" w:eastAsia="仿宋" w:hAnsi="仿宋" w:hint="eastAsia"/>
          <w:sz w:val="32"/>
          <w:szCs w:val="32"/>
        </w:rPr>
        <w:sectPr w:rsidSect="00485CB9">
          <w:pgSz w:w="16838" w:h="11906" w:orient="landscape"/>
          <w:pgMar w:top="567" w:right="850" w:bottom="567" w:left="850" w:header="0" w:footer="454" w:gutter="0"/>
          <w:cols w:space="425"/>
          <w:docGrid w:type="linesAndChars" w:linePitch="312"/>
        </w:sectPr>
      </w:pPr>
    </w:p>
    <w:p w:rsidR="0047245A" w14:paraId="23A9CF1C" w14:textId="77777777">
      <w:pPr>
        <w:pStyle w:val="Heading1"/>
        <w:spacing w:before="0" w:after="0"/>
      </w:pPr>
      <w:bookmarkStart w:id="7" w:name="_Toc23486"/>
      <w:r>
        <w:rPr>
          <w:rFonts w:hint="eastAsia"/>
        </w:rPr>
        <w:t>三、支出预算总表</w:t>
      </w:r>
      <w:bookmarkEnd w:id="7"/>
    </w:p>
    <w:p w:rsidR="0047245A" w14:paraId="447B3A11" w14:textId="77777777">
      <w:pPr>
        <w:widowControl/>
        <w:jc w:val="center"/>
        <w:rPr>
          <w:rFonts w:ascii="方正小标宋简体" w:eastAsia="方正小标宋简体" w:hAnsi="宋体" w:cs="宋体" w:hint="eastAsia"/>
          <w:kern w:val="0"/>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年度支出预算总表</w:t>
      </w:r>
    </w:p>
    <w:p w:rsidR="0047245A" w14:paraId="466F704C"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9" w:type="pct"/>
        <w:tblLayout w:type="fixed"/>
        <w:tblLook w:val="04A0"/>
      </w:tblPr>
      <w:tblGrid>
        <w:gridCol w:w="1166"/>
        <w:gridCol w:w="4270"/>
        <w:gridCol w:w="1820"/>
        <w:gridCol w:w="1700"/>
        <w:gridCol w:w="1620"/>
        <w:gridCol w:w="1681"/>
        <w:gridCol w:w="1550"/>
        <w:gridCol w:w="1544"/>
      </w:tblGrid>
      <w:tr w14:paraId="638B09A9" w14:textId="77777777">
        <w:tblPrEx>
          <w:tblW w:w="4999" w:type="pct"/>
          <w:tblLayout w:type="fixed"/>
          <w:tblLook w:val="04A0"/>
        </w:tblPrEx>
        <w:trPr>
          <w:trHeight w:val="606"/>
        </w:trPr>
        <w:tc>
          <w:tcPr>
            <w:tcW w:w="380" w:type="pct"/>
            <w:vAlign w:val="center"/>
          </w:tcPr>
          <w:p w:rsidR="0047245A" w14:paraId="3C33F072"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科目编码</w:t>
            </w:r>
          </w:p>
        </w:tc>
        <w:tc>
          <w:tcPr>
            <w:tcW w:w="1390" w:type="pct"/>
            <w:vAlign w:val="center"/>
          </w:tcPr>
          <w:p w:rsidR="0047245A" w14:paraId="2F9C2147"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科目名称</w:t>
            </w:r>
          </w:p>
        </w:tc>
        <w:tc>
          <w:tcPr>
            <w:tcW w:w="592" w:type="pct"/>
            <w:vAlign w:val="center"/>
          </w:tcPr>
          <w:p w:rsidR="0047245A" w14:paraId="13B56ECC" w14:textId="02E6FB20">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小</w:t>
            </w:r>
            <w:r w:rsidR="006644A8">
              <w:rPr>
                <w:rFonts w:ascii="宋体" w:eastAsia="宋体" w:hAnsi="宋体" w:cs="宋体" w:hint="eastAsia"/>
                <w:b/>
                <w:bCs/>
                <w:color w:val="000000"/>
                <w:kern w:val="0"/>
                <w:sz w:val="18"/>
                <w:szCs w:val="18"/>
              </w:rPr>
              <w:t>计</w:t>
            </w:r>
          </w:p>
        </w:tc>
        <w:tc>
          <w:tcPr>
            <w:tcW w:w="553" w:type="pct"/>
            <w:vAlign w:val="center"/>
          </w:tcPr>
          <w:p w:rsidR="0047245A" w14:paraId="32683EF5"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kern w:val="0"/>
                <w:sz w:val="18"/>
                <w:szCs w:val="18"/>
              </w:rPr>
              <w:t>基本支出</w:t>
            </w:r>
          </w:p>
        </w:tc>
        <w:tc>
          <w:tcPr>
            <w:tcW w:w="527" w:type="pct"/>
            <w:vAlign w:val="center"/>
          </w:tcPr>
          <w:p w:rsidR="0047245A" w14:paraId="64441558" w14:textId="77777777">
            <w:pPr>
              <w:widowControl/>
              <w:jc w:val="center"/>
              <w:rPr>
                <w:rFonts w:ascii="宋体" w:eastAsia="宋体" w:hAnsi="宋体" w:cs="宋体" w:hint="eastAsia"/>
                <w:b/>
                <w:bCs/>
                <w:color w:val="000000"/>
                <w:kern w:val="0"/>
                <w:sz w:val="18"/>
                <w:szCs w:val="18"/>
              </w:rPr>
            </w:pPr>
            <w:r>
              <w:rPr>
                <w:rFonts w:ascii="宋体" w:eastAsia="宋体" w:hAnsi="宋体" w:cs="宋体" w:hint="eastAsia"/>
                <w:b/>
                <w:bCs/>
                <w:kern w:val="0"/>
                <w:sz w:val="18"/>
                <w:szCs w:val="18"/>
              </w:rPr>
              <w:t>项目支出</w:t>
            </w:r>
          </w:p>
        </w:tc>
        <w:tc>
          <w:tcPr>
            <w:tcW w:w="547" w:type="pct"/>
            <w:vAlign w:val="center"/>
          </w:tcPr>
          <w:p w:rsidR="0047245A" w14:paraId="22F3B0BB"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事业单位经营支出</w:t>
            </w:r>
          </w:p>
        </w:tc>
        <w:tc>
          <w:tcPr>
            <w:tcW w:w="504" w:type="pct"/>
            <w:vAlign w:val="center"/>
          </w:tcPr>
          <w:p w:rsidR="0047245A" w14:paraId="79CFAEA7"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上缴上级支出</w:t>
            </w:r>
          </w:p>
        </w:tc>
        <w:tc>
          <w:tcPr>
            <w:tcW w:w="502" w:type="pct"/>
            <w:vAlign w:val="center"/>
          </w:tcPr>
          <w:p w:rsidR="0047245A" w14:paraId="2F6C29C4" w14:textId="77777777">
            <w:pPr>
              <w:widowControl/>
              <w:jc w:val="center"/>
              <w:rPr>
                <w:rFonts w:ascii="宋体" w:eastAsia="宋体" w:hAnsi="宋体" w:cs="宋体" w:hint="eastAsia"/>
                <w:b/>
                <w:bCs/>
                <w:kern w:val="0"/>
                <w:sz w:val="18"/>
                <w:szCs w:val="18"/>
              </w:rPr>
            </w:pPr>
            <w:r>
              <w:rPr>
                <w:rFonts w:ascii="宋体" w:eastAsia="宋体" w:hAnsi="宋体" w:cs="宋体" w:hint="eastAsia"/>
                <w:b/>
                <w:bCs/>
                <w:kern w:val="0"/>
                <w:sz w:val="18"/>
                <w:szCs w:val="18"/>
              </w:rPr>
              <w:t>对附属单位补助支出</w:t>
            </w:r>
          </w:p>
        </w:tc>
      </w:tr>
      <w:tr>
        <w:tblPrEx>
          <w:tblW w:w="4999" w:type="pct"/>
          <w:tblLayout w:type="fixed"/>
          <w:tblLook w:val="04A0"/>
        </w:tblPrEx>
        <w:tc>
          <w:tcPr>
            <w:tcW w:w="380"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592" w:type="dxa"/>
            <w:vAlign w:val="center"/>
          </w:tcPr>
          <w:p>
            <w:pPr>
              <w:pageBreakBefore w:val="0"/>
              <w:jc w:val="right"/>
              <w:textAlignment w:val="auto"/>
            </w:pPr>
            <w:r>
              <w:rPr>
                <w:rFonts w:ascii="宋体" w:eastAsia="宋体" w:hAnsi="宋体" w:cs="宋体"/>
                <w:b/>
                <w:i w:val="0"/>
                <w:strike w:val="0"/>
                <w:color w:val="000000"/>
                <w:position w:val="-1"/>
                <w:sz w:val="18"/>
                <w:u w:val="none"/>
              </w:rPr>
              <w:t>4204.43</w:t>
            </w:r>
          </w:p>
        </w:tc>
        <w:tc>
          <w:tcPr>
            <w:tcW w:w="553" w:type="dxa"/>
            <w:vAlign w:val="center"/>
          </w:tcPr>
          <w:p>
            <w:pPr>
              <w:pageBreakBefore w:val="0"/>
              <w:jc w:val="right"/>
              <w:textAlignment w:val="auto"/>
            </w:pPr>
            <w:r>
              <w:rPr>
                <w:rFonts w:ascii="宋体" w:eastAsia="宋体" w:hAnsi="宋体" w:cs="宋体"/>
                <w:b/>
                <w:i w:val="0"/>
                <w:strike w:val="0"/>
                <w:color w:val="000000"/>
                <w:position w:val="-1"/>
                <w:sz w:val="18"/>
                <w:u w:val="none"/>
              </w:rPr>
              <w:t>2648.43</w:t>
            </w:r>
          </w:p>
        </w:tc>
        <w:tc>
          <w:tcPr>
            <w:tcW w:w="527" w:type="dxa"/>
            <w:vAlign w:val="center"/>
          </w:tcPr>
          <w:p>
            <w:pPr>
              <w:pageBreakBefore w:val="0"/>
              <w:jc w:val="right"/>
              <w:textAlignment w:val="auto"/>
            </w:pPr>
            <w:r>
              <w:rPr>
                <w:rFonts w:ascii="宋体" w:eastAsia="宋体" w:hAnsi="宋体" w:cs="宋体"/>
                <w:b/>
                <w:i w:val="0"/>
                <w:strike w:val="0"/>
                <w:color w:val="000000"/>
                <w:position w:val="-1"/>
                <w:sz w:val="18"/>
                <w:u w:val="none"/>
              </w:rPr>
              <w:t>1556.00</w:t>
            </w:r>
          </w:p>
        </w:tc>
        <w:tc>
          <w:tcPr>
            <w:tcW w:w="547"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1742.06</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1742.06</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2040602</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一般行政管理事务</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330.00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330.00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2040604</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基层司法业务</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120.00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120.00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2040605</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普法宣传</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309.00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309.00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2040606</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律师管理</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173.50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173.50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2040607</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公共法律服务</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167.00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167.00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2040610</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社区矫正</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349.00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349.00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2040612</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法治建设</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67.50</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67.50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2040650</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事业运行</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246.65</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206.65</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40.00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2080505</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227.98</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227.98</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2080506</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机关事业单位职业年金缴费支出</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113.98</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113.98</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行政单位医疗</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82.26</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82.26</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2101102</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事业单位医疗</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7.45</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7.45</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2101103</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公务员医疗补助</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55.32</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55.32</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r>
        <w:tblPrEx>
          <w:tblW w:w="4999" w:type="pct"/>
          <w:tblLayout w:type="fixed"/>
          <w:tblLook w:val="04A0"/>
        </w:tblPrEx>
        <w:tc>
          <w:tcPr>
            <w:tcW w:w="380" w:type="dxa"/>
            <w:vAlign w:val="center"/>
          </w:tcPr>
          <w:p>
            <w:pPr>
              <w:pageBreakBefore w:val="0"/>
              <w:jc w:val="left"/>
              <w:textAlignment w:val="auto"/>
            </w:pPr>
            <w:r>
              <w:rPr>
                <w:rFonts w:ascii="宋体" w:eastAsia="宋体" w:hAnsi="宋体" w:cs="宋体"/>
                <w:b w:val="0"/>
                <w:i w:val="0"/>
                <w:strike w:val="0"/>
                <w:color w:val="000000"/>
                <w:position w:val="-1"/>
                <w:sz w:val="18"/>
                <w:u w:val="none"/>
              </w:rPr>
              <w:t>2210201</w:t>
            </w:r>
          </w:p>
        </w:tc>
        <w:tc>
          <w:tcPr>
            <w:tcW w:w="1390"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592" w:type="dxa"/>
            <w:vAlign w:val="center"/>
          </w:tcPr>
          <w:p>
            <w:pPr>
              <w:pageBreakBefore w:val="0"/>
              <w:jc w:val="right"/>
              <w:textAlignment w:val="auto"/>
            </w:pPr>
            <w:r>
              <w:rPr>
                <w:rFonts w:ascii="宋体" w:eastAsia="宋体" w:hAnsi="宋体" w:cs="宋体"/>
                <w:b w:val="0"/>
                <w:i w:val="0"/>
                <w:strike w:val="0"/>
                <w:color w:val="000000"/>
                <w:position w:val="-1"/>
                <w:sz w:val="18"/>
                <w:u w:val="none"/>
              </w:rPr>
              <w:t>212.73</w:t>
            </w:r>
          </w:p>
        </w:tc>
        <w:tc>
          <w:tcPr>
            <w:tcW w:w="553" w:type="dxa"/>
            <w:vAlign w:val="center"/>
          </w:tcPr>
          <w:p>
            <w:pPr>
              <w:pageBreakBefore w:val="0"/>
              <w:jc w:val="right"/>
              <w:textAlignment w:val="auto"/>
            </w:pPr>
            <w:r>
              <w:rPr>
                <w:rFonts w:ascii="宋体" w:eastAsia="宋体" w:hAnsi="宋体" w:cs="宋体"/>
                <w:b w:val="0"/>
                <w:i w:val="0"/>
                <w:strike w:val="0"/>
                <w:color w:val="000000"/>
                <w:position w:val="-1"/>
                <w:sz w:val="18"/>
                <w:u w:val="none"/>
              </w:rPr>
              <w:t>212.73</w:t>
            </w:r>
          </w:p>
        </w:tc>
        <w:tc>
          <w:tcPr>
            <w:tcW w:w="52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47"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4"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c>
          <w:tcPr>
            <w:tcW w:w="502" w:type="dxa"/>
            <w:vAlign w:val="center"/>
          </w:tcPr>
          <w:p>
            <w:pPr>
              <w:pageBreakBefore w:val="0"/>
              <w:jc w:val="right"/>
              <w:textAlignment w:val="auto"/>
            </w:pPr>
            <w:r>
              <w:rPr>
                <w:rFonts w:ascii="宋体" w:eastAsia="宋体" w:hAnsi="宋体" w:cs="宋体"/>
                <w:b w:val="0"/>
                <w:i w:val="0"/>
                <w:strike w:val="0"/>
                <w:color w:val="000000"/>
                <w:position w:val="-1"/>
                <w:sz w:val="18"/>
                <w:u w:val="none"/>
              </w:rPr>
              <w:t>0.00</w:t>
            </w:r>
          </w:p>
        </w:tc>
      </w:tr>
    </w:tbl>
    <w:p w:rsidR="0047245A" w14:paraId="4E7CCCE1" w14:textId="77777777">
      <w:pPr>
        <w:tabs>
          <w:tab w:val="left" w:pos="7513"/>
        </w:tabs>
        <w:adjustRightInd w:val="0"/>
        <w:snapToGrid w:val="0"/>
        <w:spacing w:line="600" w:lineRule="exact"/>
        <w:rPr>
          <w:rFonts w:ascii="仿宋" w:eastAsia="仿宋" w:hAnsi="仿宋" w:hint="eastAsia"/>
          <w:sz w:val="32"/>
          <w:szCs w:val="32"/>
        </w:rPr>
        <w:sectPr w:rsidSect="00485CB9">
          <w:pgSz w:w="16838" w:h="11906" w:orient="landscape"/>
          <w:pgMar w:top="567" w:right="850" w:bottom="567" w:left="850" w:header="0" w:footer="454" w:gutter="0"/>
          <w:cols w:space="425"/>
          <w:docGrid w:type="linesAndChars" w:linePitch="312"/>
        </w:sectPr>
      </w:pPr>
    </w:p>
    <w:p w:rsidR="0047245A" w:rsidP="001D091C" w14:paraId="24CCBD2A" w14:textId="77777777">
      <w:pPr>
        <w:pStyle w:val="Heading1"/>
        <w:spacing w:before="0" w:after="0"/>
      </w:pPr>
      <w:bookmarkStart w:id="8" w:name="_Toc8668"/>
      <w:r>
        <w:rPr>
          <w:rFonts w:hint="eastAsia"/>
        </w:rPr>
        <w:t>四、财政拨款收支预算总表</w:t>
      </w:r>
      <w:bookmarkEnd w:id="8"/>
    </w:p>
    <w:p w:rsidR="0047245A" w14:paraId="5D81BD89" w14:textId="77777777">
      <w:pPr>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年度财政拨款收支预算总表</w:t>
      </w:r>
    </w:p>
    <w:p w:rsidR="0047245A" w14:paraId="55512355" w14:textId="77777777">
      <w:pPr>
        <w:spacing w:line="300" w:lineRule="exact"/>
        <w:jc w:val="right"/>
        <w:rPr>
          <w:rFonts w:ascii="仿宋" w:eastAsia="仿宋" w:hAnsi="仿宋" w:hint="eastAsia"/>
          <w:sz w:val="32"/>
          <w:szCs w:val="32"/>
        </w:rPr>
      </w:pPr>
      <w:r>
        <w:rPr>
          <w:rFonts w:ascii="宋体" w:eastAsia="宋体" w:hAnsi="宋体" w:cs="宋体" w:hint="eastAsia"/>
          <w:kern w:val="0"/>
          <w:sz w:val="22"/>
          <w:szCs w:val="24"/>
        </w:rPr>
        <w:t>单位：万元</w:t>
      </w:r>
    </w:p>
    <w:tbl>
      <w:tblPr>
        <w:tblStyle w:val="TableGrid"/>
        <w:tblW w:w="4998" w:type="pct"/>
        <w:tblLayout w:type="fixed"/>
        <w:tblLook w:val="04A0"/>
      </w:tblPr>
      <w:tblGrid>
        <w:gridCol w:w="3010"/>
        <w:gridCol w:w="1274"/>
        <w:gridCol w:w="3166"/>
        <w:gridCol w:w="1267"/>
      </w:tblGrid>
      <w:tr w14:paraId="1FFFB390" w14:textId="77777777">
        <w:tblPrEx>
          <w:tblW w:w="4998" w:type="pct"/>
          <w:tblLayout w:type="fixed"/>
          <w:tblLook w:val="04A0"/>
        </w:tblPrEx>
        <w:trPr>
          <w:trHeight w:val="455"/>
        </w:trPr>
        <w:tc>
          <w:tcPr>
            <w:tcW w:w="2456" w:type="pct"/>
            <w:gridSpan w:val="2"/>
            <w:vAlign w:val="center"/>
          </w:tcPr>
          <w:p w:rsidR="0047245A" w14:paraId="24C569AB"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收入</w:t>
            </w:r>
          </w:p>
        </w:tc>
        <w:tc>
          <w:tcPr>
            <w:tcW w:w="2543" w:type="pct"/>
            <w:gridSpan w:val="2"/>
            <w:vAlign w:val="center"/>
          </w:tcPr>
          <w:p w:rsidR="0047245A" w14:paraId="44738D47"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支出</w:t>
            </w:r>
          </w:p>
        </w:tc>
      </w:tr>
      <w:tr w14:paraId="72F260D1" w14:textId="77777777">
        <w:tblPrEx>
          <w:tblW w:w="4998" w:type="pct"/>
          <w:tblLayout w:type="fixed"/>
          <w:tblLook w:val="04A0"/>
        </w:tblPrEx>
        <w:trPr>
          <w:trHeight w:val="561"/>
        </w:trPr>
        <w:tc>
          <w:tcPr>
            <w:tcW w:w="1726" w:type="pct"/>
            <w:vAlign w:val="center"/>
          </w:tcPr>
          <w:p w:rsidR="0047245A" w14:paraId="2F985BD4" w14:textId="77777777">
            <w:pPr>
              <w:tabs>
                <w:tab w:val="left" w:pos="7513"/>
              </w:tabs>
              <w:snapToGrid w:val="0"/>
              <w:jc w:val="center"/>
              <w:rPr>
                <w:rFonts w:ascii="黑体" w:eastAsia="黑体" w:hAnsi="黑体" w:hint="eastAsia"/>
                <w:sz w:val="32"/>
                <w:szCs w:val="32"/>
              </w:rPr>
            </w:pPr>
            <w:r>
              <w:rPr>
                <w:rFonts w:ascii="宋体" w:eastAsia="宋体" w:hAnsi="宋体" w:cs="宋体" w:hint="eastAsia"/>
                <w:b/>
                <w:bCs/>
                <w:kern w:val="0"/>
                <w:sz w:val="22"/>
              </w:rPr>
              <w:t>项目</w:t>
            </w:r>
          </w:p>
        </w:tc>
        <w:tc>
          <w:tcPr>
            <w:tcW w:w="730" w:type="pct"/>
            <w:vAlign w:val="center"/>
          </w:tcPr>
          <w:p w:rsidR="0047245A" w14:paraId="0307968E"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c>
          <w:tcPr>
            <w:tcW w:w="1816" w:type="pct"/>
            <w:vAlign w:val="center"/>
          </w:tcPr>
          <w:p w:rsidR="0047245A" w14:paraId="55278473"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726" w:type="pct"/>
            <w:vAlign w:val="center"/>
          </w:tcPr>
          <w:p w:rsidR="0047245A" w14:paraId="681118D4" w14:textId="77777777">
            <w:pPr>
              <w:tabs>
                <w:tab w:val="left" w:pos="7513"/>
              </w:tabs>
              <w:snapToGrid w:val="0"/>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4142.43</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一、一般公共服务支出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二、政府性基金预算拨款收入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二、外交支出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r>
              <w:rPr>
                <w:rFonts w:ascii="宋体" w:eastAsia="宋体" w:hAnsi="宋体" w:cs="宋体"/>
                <w:b w:val="0"/>
                <w:i w:val="0"/>
                <w:strike w:val="0"/>
                <w:color w:val="auto"/>
                <w:position w:val="-1"/>
                <w:sz w:val="18"/>
                <w:u w:val="none"/>
              </w:rPr>
              <w:t>三、国有资本经营预算拨款收入</w:t>
            </w:r>
          </w:p>
        </w:tc>
        <w:tc>
          <w:tcPr>
            <w:tcW w:w="730"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三、国防支出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四、公共安全支出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3442.71</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五、教育支出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六、科学技术支出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七、文化旅游体育与传媒支出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八、社会保障和就业支出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341.96</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九、卫生健康支出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145.03</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十、节能环保支出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十一、城乡社区支出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十二、农林水支出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十三、交通运输支出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十四、资源勘探工业信息等支出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十五、商业服务业等支出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十六、金融支出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十七、援助其他地区支出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十八、自然资源海洋气象等支出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十九、住房保障支出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212.73</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二十、粮油物资储备支出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二十一、国有资本经营预算支出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二十二、灾害防治及应急管理支出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二十三、其他支出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二十四、债务还本支出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二十五、债务付息支出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left"/>
              <w:textAlignment w:val="auto"/>
            </w:pPr>
          </w:p>
        </w:tc>
        <w:tc>
          <w:tcPr>
            <w:tcW w:w="730" w:type="dxa"/>
            <w:vAlign w:val="center"/>
          </w:tcPr>
          <w:p>
            <w:pPr>
              <w:pageBreakBefore w:val="0"/>
              <w:jc w:val="right"/>
              <w:textAlignment w:val="auto"/>
            </w:pPr>
          </w:p>
        </w:tc>
        <w:tc>
          <w:tcPr>
            <w:tcW w:w="1816" w:type="dxa"/>
            <w:vAlign w:val="center"/>
          </w:tcPr>
          <w:p>
            <w:pPr>
              <w:pageBreakBefore w:val="0"/>
              <w:jc w:val="left"/>
              <w:textAlignment w:val="auto"/>
            </w:pPr>
            <w:r>
              <w:rPr>
                <w:rFonts w:ascii="宋体" w:eastAsia="宋体" w:hAnsi="宋体" w:cs="宋体"/>
                <w:b w:val="0"/>
                <w:i w:val="0"/>
                <w:strike w:val="0"/>
                <w:color w:val="auto"/>
                <w:position w:val="-1"/>
                <w:sz w:val="18"/>
                <w:u w:val="none"/>
              </w:rPr>
              <w:t>二十六、债务发行费用支出</w:t>
            </w:r>
          </w:p>
        </w:tc>
        <w:tc>
          <w:tcPr>
            <w:tcW w:w="726" w:type="dxa"/>
            <w:vAlign w:val="center"/>
          </w:tcPr>
          <w:p>
            <w:pPr>
              <w:pageBreakBefore w:val="0"/>
              <w:jc w:val="right"/>
              <w:textAlignment w:val="auto"/>
            </w:pPr>
            <w:r>
              <w:rPr>
                <w:rFonts w:ascii="宋体" w:eastAsia="宋体" w:hAnsi="宋体" w:cs="宋体"/>
                <w:b w:val="0"/>
                <w:i w:val="0"/>
                <w:strike w:val="0"/>
                <w:color w:val="auto"/>
                <w:position w:val="-1"/>
                <w:sz w:val="18"/>
                <w:u w:val="none"/>
              </w:rPr>
              <w:t>0.00</w:t>
            </w:r>
          </w:p>
        </w:tc>
      </w:tr>
      <w:tr>
        <w:tblPrEx>
          <w:tblW w:w="4998" w:type="pct"/>
          <w:tblLayout w:type="fixed"/>
          <w:tblLook w:val="04A0"/>
        </w:tblPrEx>
        <w:tc>
          <w:tcPr>
            <w:tcW w:w="1726" w:type="dxa"/>
            <w:vAlign w:val="center"/>
          </w:tcPr>
          <w:p>
            <w:pPr>
              <w:pageBreakBefore w:val="0"/>
              <w:jc w:val="center"/>
              <w:textAlignment w:val="auto"/>
            </w:pPr>
            <w:r>
              <w:rPr>
                <w:rFonts w:ascii="宋体" w:eastAsia="宋体" w:hAnsi="宋体" w:cs="宋体"/>
                <w:b/>
                <w:i w:val="0"/>
                <w:strike w:val="0"/>
                <w:color w:val="auto"/>
                <w:position w:val="-1"/>
                <w:sz w:val="22"/>
                <w:u w:val="none"/>
              </w:rPr>
              <w:t>收入合计</w:t>
            </w:r>
          </w:p>
        </w:tc>
        <w:tc>
          <w:tcPr>
            <w:tcW w:w="730" w:type="dxa"/>
            <w:vAlign w:val="center"/>
          </w:tcPr>
          <w:p>
            <w:pPr>
              <w:pageBreakBefore w:val="0"/>
              <w:jc w:val="right"/>
              <w:textAlignment w:val="auto"/>
            </w:pPr>
            <w:r>
              <w:rPr>
                <w:rFonts w:ascii="宋体" w:eastAsia="宋体" w:hAnsi="宋体" w:cs="宋体"/>
                <w:b/>
                <w:i w:val="0"/>
                <w:strike w:val="0"/>
                <w:color w:val="auto"/>
                <w:position w:val="-1"/>
                <w:sz w:val="22"/>
                <w:u w:val="none"/>
              </w:rPr>
              <w:t>4142.43</w:t>
            </w:r>
          </w:p>
        </w:tc>
        <w:tc>
          <w:tcPr>
            <w:tcW w:w="1816" w:type="dxa"/>
            <w:vAlign w:val="center"/>
          </w:tcPr>
          <w:p>
            <w:pPr>
              <w:pageBreakBefore w:val="0"/>
              <w:jc w:val="center"/>
              <w:textAlignment w:val="auto"/>
            </w:pPr>
            <w:r>
              <w:rPr>
                <w:rFonts w:ascii="宋体" w:eastAsia="宋体" w:hAnsi="宋体" w:cs="宋体"/>
                <w:b/>
                <w:i w:val="0"/>
                <w:strike w:val="0"/>
                <w:color w:val="auto"/>
                <w:position w:val="-1"/>
                <w:sz w:val="22"/>
                <w:u w:val="none"/>
              </w:rPr>
              <w:t>支出合计</w:t>
            </w:r>
          </w:p>
        </w:tc>
        <w:tc>
          <w:tcPr>
            <w:tcW w:w="726" w:type="dxa"/>
            <w:vAlign w:val="center"/>
          </w:tcPr>
          <w:p>
            <w:pPr>
              <w:pageBreakBefore w:val="0"/>
              <w:jc w:val="right"/>
              <w:textAlignment w:val="auto"/>
            </w:pPr>
            <w:r>
              <w:rPr>
                <w:rFonts w:ascii="宋体" w:eastAsia="宋体" w:hAnsi="宋体" w:cs="宋体"/>
                <w:b/>
                <w:i w:val="0"/>
                <w:strike w:val="0"/>
                <w:color w:val="auto"/>
                <w:position w:val="-1"/>
                <w:sz w:val="22"/>
                <w:u w:val="none"/>
              </w:rPr>
              <w:t>4142.43</w:t>
            </w:r>
          </w:p>
        </w:tc>
      </w:tr>
    </w:tbl>
    <w:p w:rsidR="0047245A" w14:paraId="6841FF6A" w14:textId="77777777">
      <w:pPr>
        <w:spacing w:line="600" w:lineRule="exact"/>
        <w:jc w:val="center"/>
        <w:rPr>
          <w:rFonts w:ascii="仿宋" w:eastAsia="仿宋" w:hAnsi="仿宋" w:hint="eastAsia"/>
          <w:sz w:val="32"/>
          <w:szCs w:val="32"/>
        </w:rPr>
      </w:pPr>
      <w:r>
        <w:rPr>
          <w:rFonts w:ascii="仿宋" w:eastAsia="仿宋" w:hAnsi="仿宋" w:hint="eastAsia"/>
          <w:sz w:val="32"/>
          <w:szCs w:val="32"/>
        </w:rPr>
        <w:t xml:space="preserve"> </w:t>
      </w:r>
    </w:p>
    <w:p w:rsidR="0047245A" w14:paraId="46F065F1" w14:textId="77777777">
      <w:pPr>
        <w:tabs>
          <w:tab w:val="left" w:pos="7513"/>
        </w:tabs>
        <w:adjustRightInd w:val="0"/>
        <w:snapToGrid w:val="0"/>
        <w:spacing w:line="600" w:lineRule="exact"/>
        <w:rPr>
          <w:rFonts w:ascii="仿宋" w:eastAsia="仿宋" w:hAnsi="仿宋" w:hint="eastAsia"/>
          <w:sz w:val="32"/>
          <w:szCs w:val="32"/>
        </w:rPr>
        <w:sectPr w:rsidSect="00485CB9">
          <w:pgSz w:w="11906" w:h="16838"/>
          <w:pgMar w:top="1440" w:right="1701" w:bottom="1440" w:left="1701" w:header="851" w:footer="992" w:gutter="0"/>
          <w:cols w:space="425"/>
          <w:docGrid w:type="linesAndChars" w:linePitch="312"/>
        </w:sectPr>
      </w:pPr>
    </w:p>
    <w:p w:rsidR="0047245A" w:rsidP="001D091C" w14:paraId="0F839FA0" w14:textId="77777777">
      <w:pPr>
        <w:pStyle w:val="Heading1"/>
        <w:spacing w:before="0" w:after="0"/>
      </w:pPr>
      <w:bookmarkStart w:id="9" w:name="_Toc32454"/>
      <w:r>
        <w:rPr>
          <w:rFonts w:hint="eastAsia"/>
        </w:rPr>
        <w:t>五、一般公共预算拨款支出预算表</w:t>
      </w:r>
      <w:bookmarkEnd w:id="9"/>
    </w:p>
    <w:p w:rsidR="0047245A" w14:paraId="478F8522"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年度一般公共预算拨款支出预算表</w:t>
      </w:r>
    </w:p>
    <w:p w:rsidR="0047245A" w14:paraId="67F3322E"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7" w:type="pct"/>
        <w:tblLayout w:type="fixed"/>
        <w:tblLook w:val="04A0"/>
      </w:tblPr>
      <w:tblGrid>
        <w:gridCol w:w="1153"/>
        <w:gridCol w:w="3830"/>
        <w:gridCol w:w="1179"/>
        <w:gridCol w:w="1561"/>
        <w:gridCol w:w="1559"/>
      </w:tblGrid>
      <w:tr w14:paraId="0516A564" w14:textId="77777777">
        <w:tblPrEx>
          <w:tblW w:w="4997" w:type="pct"/>
          <w:tblLayout w:type="fixed"/>
          <w:tblLook w:val="04A0"/>
        </w:tblPrEx>
        <w:tc>
          <w:tcPr>
            <w:tcW w:w="621" w:type="pct"/>
            <w:vMerge w:val="restart"/>
            <w:vAlign w:val="center"/>
          </w:tcPr>
          <w:p w:rsidR="0047245A" w14:paraId="77D8FDD4"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2062" w:type="pct"/>
            <w:vMerge w:val="restart"/>
            <w:vAlign w:val="center"/>
          </w:tcPr>
          <w:p w:rsidR="0047245A" w14:paraId="5A8E962A"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35" w:type="pct"/>
            <w:vMerge w:val="restart"/>
            <w:vAlign w:val="center"/>
          </w:tcPr>
          <w:p w:rsidR="0047245A" w14:paraId="2B23B5AE" w14:textId="1C99B100">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679" w:type="pct"/>
            <w:gridSpan w:val="2"/>
            <w:vAlign w:val="center"/>
          </w:tcPr>
          <w:p w:rsidR="0047245A" w14:paraId="13FDA7AF"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75C10D01" w14:textId="77777777">
        <w:tblPrEx>
          <w:tblW w:w="4997" w:type="pct"/>
          <w:tblLayout w:type="fixed"/>
          <w:tblLook w:val="04A0"/>
        </w:tblPrEx>
        <w:trPr>
          <w:trHeight w:val="360"/>
        </w:trPr>
        <w:tc>
          <w:tcPr>
            <w:tcW w:w="621" w:type="pct"/>
            <w:vMerge/>
            <w:vAlign w:val="center"/>
          </w:tcPr>
          <w:p w:rsidR="0047245A" w14:paraId="50D3A560" w14:textId="77777777">
            <w:pPr>
              <w:tabs>
                <w:tab w:val="left" w:pos="7513"/>
              </w:tabs>
              <w:adjustRightInd w:val="0"/>
              <w:snapToGrid w:val="0"/>
              <w:spacing w:line="600" w:lineRule="exact"/>
              <w:jc w:val="center"/>
              <w:rPr>
                <w:rFonts w:ascii="仿宋" w:eastAsia="仿宋" w:hAnsi="仿宋" w:hint="eastAsia"/>
                <w:sz w:val="32"/>
                <w:szCs w:val="32"/>
              </w:rPr>
            </w:pPr>
          </w:p>
        </w:tc>
        <w:tc>
          <w:tcPr>
            <w:tcW w:w="2062" w:type="pct"/>
            <w:vMerge/>
            <w:vAlign w:val="center"/>
          </w:tcPr>
          <w:p w:rsidR="0047245A" w14:paraId="627C289E" w14:textId="77777777">
            <w:pPr>
              <w:tabs>
                <w:tab w:val="left" w:pos="7513"/>
              </w:tabs>
              <w:adjustRightInd w:val="0"/>
              <w:snapToGrid w:val="0"/>
              <w:spacing w:line="600" w:lineRule="exact"/>
              <w:jc w:val="center"/>
              <w:rPr>
                <w:rFonts w:ascii="仿宋" w:eastAsia="仿宋" w:hAnsi="仿宋" w:hint="eastAsia"/>
                <w:sz w:val="32"/>
                <w:szCs w:val="32"/>
              </w:rPr>
            </w:pPr>
          </w:p>
        </w:tc>
        <w:tc>
          <w:tcPr>
            <w:tcW w:w="635" w:type="pct"/>
            <w:vMerge/>
            <w:vAlign w:val="center"/>
          </w:tcPr>
          <w:p w:rsidR="0047245A" w14:paraId="502F1FF2" w14:textId="77777777">
            <w:pPr>
              <w:tabs>
                <w:tab w:val="left" w:pos="7513"/>
              </w:tabs>
              <w:adjustRightInd w:val="0"/>
              <w:snapToGrid w:val="0"/>
              <w:spacing w:line="600" w:lineRule="exact"/>
              <w:jc w:val="center"/>
              <w:rPr>
                <w:rFonts w:ascii="仿宋" w:eastAsia="仿宋" w:hAnsi="仿宋" w:hint="eastAsia"/>
                <w:sz w:val="32"/>
                <w:szCs w:val="32"/>
              </w:rPr>
            </w:pPr>
          </w:p>
        </w:tc>
        <w:tc>
          <w:tcPr>
            <w:tcW w:w="840" w:type="pct"/>
            <w:vAlign w:val="center"/>
          </w:tcPr>
          <w:p w:rsidR="0047245A" w14:paraId="3AE96BF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839" w:type="pct"/>
            <w:vAlign w:val="center"/>
          </w:tcPr>
          <w:p w:rsidR="0047245A" w14:paraId="27E0CA63"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4997" w:type="pct"/>
          <w:tblLayout w:type="fixed"/>
          <w:tblLook w:val="04A0"/>
        </w:tblPrEx>
        <w:tc>
          <w:tcPr>
            <w:tcW w:w="62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35" w:type="dxa"/>
            <w:vAlign w:val="center"/>
          </w:tcPr>
          <w:p>
            <w:pPr>
              <w:pageBreakBefore w:val="0"/>
              <w:jc w:val="right"/>
              <w:textAlignment w:val="auto"/>
            </w:pPr>
            <w:r>
              <w:rPr>
                <w:rFonts w:ascii="宋体" w:eastAsia="宋体" w:hAnsi="宋体" w:cs="宋体"/>
                <w:b/>
                <w:i w:val="0"/>
                <w:strike w:val="0"/>
                <w:color w:val="auto"/>
                <w:position w:val="-1"/>
                <w:u w:val="none"/>
              </w:rPr>
              <w:t>4139.17</w:t>
            </w:r>
          </w:p>
        </w:tc>
        <w:tc>
          <w:tcPr>
            <w:tcW w:w="840" w:type="dxa"/>
            <w:vAlign w:val="center"/>
          </w:tcPr>
          <w:p>
            <w:pPr>
              <w:pageBreakBefore w:val="0"/>
              <w:jc w:val="right"/>
              <w:textAlignment w:val="auto"/>
            </w:pPr>
            <w:r>
              <w:rPr>
                <w:rFonts w:ascii="宋体" w:eastAsia="宋体" w:hAnsi="宋体" w:cs="宋体"/>
                <w:b/>
                <w:i w:val="0"/>
                <w:strike w:val="0"/>
                <w:color w:val="auto"/>
                <w:position w:val="-1"/>
                <w:u w:val="none"/>
              </w:rPr>
              <w:t>2645.17</w:t>
            </w:r>
          </w:p>
        </w:tc>
        <w:tc>
          <w:tcPr>
            <w:tcW w:w="839" w:type="dxa"/>
            <w:vAlign w:val="center"/>
          </w:tcPr>
          <w:p>
            <w:pPr>
              <w:pageBreakBefore w:val="0"/>
              <w:jc w:val="right"/>
              <w:textAlignment w:val="auto"/>
            </w:pPr>
            <w:r>
              <w:rPr>
                <w:rFonts w:ascii="宋体" w:eastAsia="宋体" w:hAnsi="宋体" w:cs="宋体"/>
                <w:b/>
                <w:i w:val="0"/>
                <w:strike w:val="0"/>
                <w:color w:val="auto"/>
                <w:position w:val="-1"/>
                <w:u w:val="none"/>
              </w:rPr>
              <w:t>1494.00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1742.06</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1742.06</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2040602</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一般行政管理事务</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330.00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330.00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2040604</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基层司法业务</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120.00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120.00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2040605</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普法宣传</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309.00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309.00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2040606</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律师管理</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173.50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173.50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2040607</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公共法律服务</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145.00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145.00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2040610</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社区矫正</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349.00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349.00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2040612</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法治建设</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67.50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0.00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67.50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2040650</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事业运行</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204.48</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204.48</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2080505</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机关事业单位基本养老保险缴费支出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227.62</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227.62</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2080506</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机关事业单位职业年金缴费支出</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113.80</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113.80</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行政单位医疗</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82.26</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82.26</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2101102</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事业单位医疗</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7.22</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7.22</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2101103</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公务员医疗补助</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55.26</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55.26</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r>
        <w:tblPrEx>
          <w:tblW w:w="4997" w:type="pct"/>
          <w:tblLayout w:type="fixed"/>
          <w:tblLook w:val="04A0"/>
        </w:tblPrEx>
        <w:tc>
          <w:tcPr>
            <w:tcW w:w="621" w:type="dxa"/>
            <w:vAlign w:val="center"/>
          </w:tcPr>
          <w:p>
            <w:pPr>
              <w:pageBreakBefore w:val="0"/>
              <w:jc w:val="left"/>
              <w:textAlignment w:val="auto"/>
            </w:pPr>
            <w:r>
              <w:rPr>
                <w:rFonts w:ascii="宋体" w:eastAsia="宋体" w:hAnsi="宋体" w:cs="宋体"/>
                <w:b w:val="0"/>
                <w:i w:val="0"/>
                <w:strike w:val="0"/>
                <w:color w:val="auto"/>
                <w:position w:val="-1"/>
                <w:u w:val="none"/>
              </w:rPr>
              <w:t>2210201</w:t>
            </w:r>
          </w:p>
        </w:tc>
        <w:tc>
          <w:tcPr>
            <w:tcW w:w="2062" w:type="dxa"/>
            <w:vAlign w:val="center"/>
          </w:tcPr>
          <w:p>
            <w:pPr>
              <w:pageBreakBefore w:val="0"/>
              <w:jc w:val="left"/>
              <w:textAlignment w:val="auto"/>
            </w:pPr>
            <w:r>
              <w:rPr>
                <w:rFonts w:ascii="宋体" w:eastAsia="宋体" w:hAnsi="宋体" w:cs="宋体"/>
                <w:b w:val="0"/>
                <w:i w:val="0"/>
                <w:strike w:val="0"/>
                <w:color w:val="auto"/>
                <w:position w:val="-1"/>
                <w:u w:val="none"/>
              </w:rPr>
              <w:t>住房公积金</w:t>
            </w:r>
          </w:p>
        </w:tc>
        <w:tc>
          <w:tcPr>
            <w:tcW w:w="635" w:type="dxa"/>
            <w:vAlign w:val="center"/>
          </w:tcPr>
          <w:p>
            <w:pPr>
              <w:pageBreakBefore w:val="0"/>
              <w:jc w:val="right"/>
              <w:textAlignment w:val="auto"/>
            </w:pPr>
            <w:r>
              <w:rPr>
                <w:rFonts w:ascii="宋体" w:eastAsia="宋体" w:hAnsi="宋体" w:cs="宋体"/>
                <w:b w:val="0"/>
                <w:i w:val="0"/>
                <w:strike w:val="0"/>
                <w:color w:val="auto"/>
                <w:position w:val="-1"/>
                <w:u w:val="none"/>
              </w:rPr>
              <w:t>212.47</w:t>
            </w:r>
          </w:p>
        </w:tc>
        <w:tc>
          <w:tcPr>
            <w:tcW w:w="840" w:type="dxa"/>
            <w:vAlign w:val="center"/>
          </w:tcPr>
          <w:p>
            <w:pPr>
              <w:pageBreakBefore w:val="0"/>
              <w:jc w:val="right"/>
              <w:textAlignment w:val="auto"/>
            </w:pPr>
            <w:r>
              <w:rPr>
                <w:rFonts w:ascii="宋体" w:eastAsia="宋体" w:hAnsi="宋体" w:cs="宋体"/>
                <w:b w:val="0"/>
                <w:i w:val="0"/>
                <w:strike w:val="0"/>
                <w:color w:val="auto"/>
                <w:position w:val="-1"/>
                <w:u w:val="none"/>
              </w:rPr>
              <w:t>212.47</w:t>
            </w:r>
          </w:p>
        </w:tc>
        <w:tc>
          <w:tcPr>
            <w:tcW w:w="839" w:type="dxa"/>
            <w:vAlign w:val="center"/>
          </w:tcPr>
          <w:p>
            <w:pPr>
              <w:pageBreakBefore w:val="0"/>
              <w:jc w:val="right"/>
              <w:textAlignment w:val="auto"/>
            </w:pPr>
            <w:r>
              <w:rPr>
                <w:rFonts w:ascii="宋体" w:eastAsia="宋体" w:hAnsi="宋体" w:cs="宋体"/>
                <w:b w:val="0"/>
                <w:i w:val="0"/>
                <w:strike w:val="0"/>
                <w:color w:val="auto"/>
                <w:position w:val="-1"/>
                <w:u w:val="none"/>
              </w:rPr>
              <w:t>0.00</w:t>
            </w:r>
          </w:p>
        </w:tc>
      </w:tr>
    </w:tbl>
    <w:p w:rsidR="0047245A" w14:paraId="376CE9EE" w14:textId="77777777">
      <w:pPr>
        <w:spacing w:line="600" w:lineRule="exact"/>
        <w:jc w:val="center"/>
        <w:rPr>
          <w:rFonts w:ascii="仿宋" w:eastAsia="仿宋" w:hAnsi="仿宋" w:hint="eastAsia"/>
          <w:sz w:val="32"/>
          <w:szCs w:val="32"/>
        </w:rPr>
      </w:pPr>
      <w:r>
        <w:rPr>
          <w:rFonts w:ascii="仿宋" w:eastAsia="仿宋" w:hAnsi="仿宋" w:cs="仿宋_GB2312" w:hint="eastAsia"/>
          <w:kern w:val="0"/>
          <w:sz w:val="32"/>
          <w:szCs w:val="32"/>
        </w:rPr>
        <w:t xml:space="preserve"> </w:t>
      </w:r>
    </w:p>
    <w:p w:rsidR="0047245A" w14:paraId="6857246D" w14:textId="77777777">
      <w:pPr>
        <w:tabs>
          <w:tab w:val="left" w:pos="7513"/>
        </w:tabs>
        <w:adjustRightInd w:val="0"/>
        <w:snapToGrid w:val="0"/>
        <w:spacing w:line="600" w:lineRule="exact"/>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p>
    <w:p w:rsidR="0047245A" w:rsidP="001D091C" w14:paraId="721D690C" w14:textId="77777777">
      <w:pPr>
        <w:pStyle w:val="Heading1"/>
        <w:spacing w:before="0" w:after="0"/>
      </w:pPr>
      <w:bookmarkStart w:id="10" w:name="_Toc29223"/>
      <w:r>
        <w:rPr>
          <w:rFonts w:hint="eastAsia"/>
        </w:rPr>
        <w:t>六、政府性基金预算拨款支出预算表</w:t>
      </w:r>
      <w:bookmarkEnd w:id="10"/>
    </w:p>
    <w:p w:rsidR="0047245A" w14:paraId="6D53F06F"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年度政府性基金预算拨款支出预算表</w:t>
      </w:r>
    </w:p>
    <w:p w:rsidR="0047245A" w14:paraId="483BD4ED"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5000" w:type="pct"/>
        <w:tblLayout w:type="fixed"/>
        <w:tblLook w:val="04A0"/>
      </w:tblPr>
      <w:tblGrid>
        <w:gridCol w:w="1192"/>
        <w:gridCol w:w="3605"/>
        <w:gridCol w:w="1287"/>
        <w:gridCol w:w="1540"/>
        <w:gridCol w:w="1664"/>
      </w:tblGrid>
      <w:tr w14:paraId="1D84345D" w14:textId="77777777">
        <w:tblPrEx>
          <w:tblW w:w="5000" w:type="pct"/>
          <w:tblLayout w:type="fixed"/>
          <w:tblLook w:val="04A0"/>
        </w:tblPrEx>
        <w:tc>
          <w:tcPr>
            <w:tcW w:w="641" w:type="pct"/>
            <w:vMerge w:val="restart"/>
            <w:vAlign w:val="center"/>
          </w:tcPr>
          <w:p w:rsidR="0047245A" w14:paraId="3A6452A7"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1939" w:type="pct"/>
            <w:vMerge w:val="restart"/>
            <w:vAlign w:val="center"/>
          </w:tcPr>
          <w:p w:rsidR="0047245A" w14:paraId="35C3A03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93" w:type="pct"/>
            <w:vMerge w:val="restart"/>
            <w:vAlign w:val="center"/>
          </w:tcPr>
          <w:p w:rsidR="0047245A" w14:paraId="2CE7409E" w14:textId="1AE4E256">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725" w:type="pct"/>
            <w:gridSpan w:val="2"/>
            <w:vAlign w:val="center"/>
          </w:tcPr>
          <w:p w:rsidR="0047245A" w14:paraId="3EA6BBE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03EE131E" w14:textId="77777777">
        <w:tblPrEx>
          <w:tblW w:w="5000" w:type="pct"/>
          <w:tblLayout w:type="fixed"/>
          <w:tblLook w:val="04A0"/>
        </w:tblPrEx>
        <w:trPr>
          <w:trHeight w:val="545"/>
        </w:trPr>
        <w:tc>
          <w:tcPr>
            <w:tcW w:w="641" w:type="pct"/>
            <w:vMerge/>
            <w:vAlign w:val="center"/>
          </w:tcPr>
          <w:p w:rsidR="0047245A" w14:paraId="73D98F46" w14:textId="77777777">
            <w:pPr>
              <w:tabs>
                <w:tab w:val="left" w:pos="7513"/>
              </w:tabs>
              <w:adjustRightInd w:val="0"/>
              <w:snapToGrid w:val="0"/>
              <w:spacing w:line="600" w:lineRule="exact"/>
              <w:jc w:val="center"/>
              <w:rPr>
                <w:rFonts w:ascii="仿宋" w:eastAsia="仿宋" w:hAnsi="仿宋" w:hint="eastAsia"/>
                <w:sz w:val="32"/>
                <w:szCs w:val="32"/>
              </w:rPr>
            </w:pPr>
          </w:p>
        </w:tc>
        <w:tc>
          <w:tcPr>
            <w:tcW w:w="1939" w:type="pct"/>
            <w:vMerge/>
            <w:vAlign w:val="center"/>
          </w:tcPr>
          <w:p w:rsidR="0047245A" w14:paraId="7C5A792C" w14:textId="77777777">
            <w:pPr>
              <w:tabs>
                <w:tab w:val="left" w:pos="7513"/>
              </w:tabs>
              <w:adjustRightInd w:val="0"/>
              <w:snapToGrid w:val="0"/>
              <w:spacing w:line="600" w:lineRule="exact"/>
              <w:jc w:val="center"/>
              <w:rPr>
                <w:rFonts w:ascii="仿宋" w:eastAsia="仿宋" w:hAnsi="仿宋" w:hint="eastAsia"/>
                <w:sz w:val="32"/>
                <w:szCs w:val="32"/>
              </w:rPr>
            </w:pPr>
          </w:p>
        </w:tc>
        <w:tc>
          <w:tcPr>
            <w:tcW w:w="693" w:type="pct"/>
            <w:vMerge/>
            <w:vAlign w:val="center"/>
          </w:tcPr>
          <w:p w:rsidR="0047245A" w14:paraId="35E779DB" w14:textId="77777777">
            <w:pPr>
              <w:tabs>
                <w:tab w:val="left" w:pos="7513"/>
              </w:tabs>
              <w:adjustRightInd w:val="0"/>
              <w:snapToGrid w:val="0"/>
              <w:spacing w:line="600" w:lineRule="exact"/>
              <w:jc w:val="center"/>
              <w:rPr>
                <w:rFonts w:ascii="仿宋" w:eastAsia="仿宋" w:hAnsi="仿宋" w:hint="eastAsia"/>
                <w:sz w:val="32"/>
                <w:szCs w:val="32"/>
              </w:rPr>
            </w:pPr>
          </w:p>
        </w:tc>
        <w:tc>
          <w:tcPr>
            <w:tcW w:w="829" w:type="pct"/>
            <w:vAlign w:val="center"/>
          </w:tcPr>
          <w:p w:rsidR="0047245A" w14:paraId="0C3A9D8E"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895" w:type="pct"/>
            <w:vAlign w:val="center"/>
          </w:tcPr>
          <w:p w:rsidR="0047245A" w14:paraId="3FBAFFA4"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5000" w:type="pct"/>
          <w:tblLayout w:type="fixed"/>
          <w:tblLook w:val="04A0"/>
        </w:tblPrEx>
        <w:tc>
          <w:tcPr>
            <w:tcW w:w="641"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9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95"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0A3CDC6B"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r>
        <w:rPr>
          <w:rFonts w:ascii="仿宋" w:eastAsia="仿宋" w:hAnsi="仿宋" w:cs="仿宋"/>
          <w:sz w:val="32"/>
        </w:rPr>
        <w:t>备注：本部门</w:t>
      </w:r>
      <w:r>
        <w:rPr>
          <w:rFonts w:ascii="Times New Roman" w:eastAsia="Times New Roman" w:hAnsi="Times New Roman" w:cs="Times New Roman"/>
          <w:sz w:val="32"/>
        </w:rPr>
        <w:t>2025</w:t>
      </w:r>
      <w:r>
        <w:rPr>
          <w:rFonts w:ascii="仿宋" w:eastAsia="仿宋" w:hAnsi="仿宋" w:cs="仿宋"/>
          <w:sz w:val="32"/>
        </w:rPr>
        <w:t>年没有使用政府性基金预算拨款安排的支出。</w:t>
      </w:r>
    </w:p>
    <w:p w:rsidR="0047245A" w:rsidP="001D091C" w14:paraId="5BE0B070" w14:textId="77777777">
      <w:pPr>
        <w:pStyle w:val="Heading1"/>
        <w:spacing w:before="0" w:after="0"/>
      </w:pPr>
      <w:bookmarkStart w:id="11" w:name="_Toc29140"/>
      <w:r>
        <w:rPr>
          <w:rFonts w:hint="eastAsia"/>
        </w:rPr>
        <w:t>七、国有资本经营预算拨款支出预算表</w:t>
      </w:r>
      <w:bookmarkEnd w:id="11"/>
    </w:p>
    <w:p w:rsidR="0047245A" w14:paraId="55DDA209"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年度国有资本经营预算拨款支出预算表</w:t>
      </w:r>
    </w:p>
    <w:p w:rsidR="0047245A" w14:paraId="329E1BF2"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4996" w:type="pct"/>
        <w:tblLayout w:type="fixed"/>
        <w:tblLook w:val="04A0"/>
      </w:tblPr>
      <w:tblGrid>
        <w:gridCol w:w="1263"/>
        <w:gridCol w:w="3522"/>
        <w:gridCol w:w="1279"/>
        <w:gridCol w:w="1539"/>
        <w:gridCol w:w="1678"/>
      </w:tblGrid>
      <w:tr w14:paraId="3DB4D171" w14:textId="77777777">
        <w:tblPrEx>
          <w:tblW w:w="4996" w:type="pct"/>
          <w:tblLayout w:type="fixed"/>
          <w:tblLook w:val="04A0"/>
        </w:tblPrEx>
        <w:tc>
          <w:tcPr>
            <w:tcW w:w="680" w:type="pct"/>
            <w:vMerge w:val="restart"/>
            <w:vAlign w:val="center"/>
          </w:tcPr>
          <w:p w:rsidR="0047245A" w14:paraId="76A2E33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科目编码</w:t>
            </w:r>
          </w:p>
        </w:tc>
        <w:tc>
          <w:tcPr>
            <w:tcW w:w="1896" w:type="pct"/>
            <w:vMerge w:val="restart"/>
            <w:vAlign w:val="center"/>
          </w:tcPr>
          <w:p w:rsidR="0047245A" w14:paraId="61F46A35"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科目名称</w:t>
            </w:r>
          </w:p>
        </w:tc>
        <w:tc>
          <w:tcPr>
            <w:tcW w:w="689" w:type="pct"/>
            <w:vMerge w:val="restart"/>
            <w:vAlign w:val="center"/>
          </w:tcPr>
          <w:p w:rsidR="0047245A" w14:paraId="789B655E" w14:textId="5152E431">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小</w:t>
            </w:r>
            <w:r w:rsidR="006644A8">
              <w:rPr>
                <w:rFonts w:ascii="宋体" w:eastAsia="宋体" w:hAnsi="宋体" w:cs="宋体" w:hint="eastAsia"/>
                <w:b/>
                <w:bCs/>
                <w:kern w:val="0"/>
                <w:sz w:val="22"/>
              </w:rPr>
              <w:t>计</w:t>
            </w:r>
          </w:p>
        </w:tc>
        <w:tc>
          <w:tcPr>
            <w:tcW w:w="1733" w:type="pct"/>
            <w:gridSpan w:val="2"/>
            <w:vAlign w:val="center"/>
          </w:tcPr>
          <w:p w:rsidR="0047245A" w14:paraId="7C8CB97C"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其中：</w:t>
            </w:r>
          </w:p>
        </w:tc>
      </w:tr>
      <w:tr w14:paraId="1A3D1A3C" w14:textId="77777777">
        <w:tblPrEx>
          <w:tblW w:w="4996" w:type="pct"/>
          <w:tblLayout w:type="fixed"/>
          <w:tblLook w:val="04A0"/>
        </w:tblPrEx>
        <w:trPr>
          <w:trHeight w:val="545"/>
        </w:trPr>
        <w:tc>
          <w:tcPr>
            <w:tcW w:w="680" w:type="pct"/>
            <w:vMerge/>
            <w:vAlign w:val="center"/>
          </w:tcPr>
          <w:p w:rsidR="0047245A" w14:paraId="5CD3BE94" w14:textId="77777777">
            <w:pPr>
              <w:tabs>
                <w:tab w:val="left" w:pos="7513"/>
              </w:tabs>
              <w:adjustRightInd w:val="0"/>
              <w:snapToGrid w:val="0"/>
              <w:spacing w:line="600" w:lineRule="exact"/>
              <w:jc w:val="center"/>
              <w:rPr>
                <w:rFonts w:ascii="仿宋" w:eastAsia="仿宋" w:hAnsi="仿宋" w:hint="eastAsia"/>
                <w:sz w:val="32"/>
                <w:szCs w:val="32"/>
              </w:rPr>
            </w:pPr>
          </w:p>
        </w:tc>
        <w:tc>
          <w:tcPr>
            <w:tcW w:w="1896" w:type="pct"/>
            <w:vMerge/>
            <w:vAlign w:val="center"/>
          </w:tcPr>
          <w:p w:rsidR="0047245A" w14:paraId="42432E80" w14:textId="77777777">
            <w:pPr>
              <w:tabs>
                <w:tab w:val="left" w:pos="7513"/>
              </w:tabs>
              <w:adjustRightInd w:val="0"/>
              <w:snapToGrid w:val="0"/>
              <w:spacing w:line="600" w:lineRule="exact"/>
              <w:jc w:val="center"/>
              <w:rPr>
                <w:rFonts w:ascii="仿宋" w:eastAsia="仿宋" w:hAnsi="仿宋" w:hint="eastAsia"/>
                <w:sz w:val="32"/>
                <w:szCs w:val="32"/>
              </w:rPr>
            </w:pPr>
          </w:p>
        </w:tc>
        <w:tc>
          <w:tcPr>
            <w:tcW w:w="689" w:type="pct"/>
            <w:vMerge/>
            <w:vAlign w:val="center"/>
          </w:tcPr>
          <w:p w:rsidR="0047245A" w14:paraId="265BAC35" w14:textId="77777777">
            <w:pPr>
              <w:tabs>
                <w:tab w:val="left" w:pos="7513"/>
              </w:tabs>
              <w:adjustRightInd w:val="0"/>
              <w:snapToGrid w:val="0"/>
              <w:spacing w:line="600" w:lineRule="exact"/>
              <w:jc w:val="center"/>
              <w:rPr>
                <w:rFonts w:ascii="仿宋" w:eastAsia="仿宋" w:hAnsi="仿宋" w:hint="eastAsia"/>
                <w:sz w:val="32"/>
                <w:szCs w:val="32"/>
              </w:rPr>
            </w:pPr>
          </w:p>
        </w:tc>
        <w:tc>
          <w:tcPr>
            <w:tcW w:w="829" w:type="pct"/>
            <w:vAlign w:val="center"/>
          </w:tcPr>
          <w:p w:rsidR="0047245A" w14:paraId="25EA4093"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基本支出</w:t>
            </w:r>
          </w:p>
        </w:tc>
        <w:tc>
          <w:tcPr>
            <w:tcW w:w="903" w:type="pct"/>
            <w:vAlign w:val="center"/>
          </w:tcPr>
          <w:p w:rsidR="0047245A" w14:paraId="26BC20A5" w14:textId="77777777">
            <w:pPr>
              <w:tabs>
                <w:tab w:val="left" w:pos="7513"/>
              </w:tabs>
              <w:adjustRightInd w:val="0"/>
              <w:snapToGrid w:val="0"/>
              <w:spacing w:line="600" w:lineRule="exact"/>
              <w:jc w:val="center"/>
              <w:rPr>
                <w:rFonts w:ascii="仿宋" w:eastAsia="仿宋" w:hAnsi="仿宋" w:hint="eastAsia"/>
                <w:sz w:val="32"/>
                <w:szCs w:val="32"/>
              </w:rPr>
            </w:pPr>
            <w:r>
              <w:rPr>
                <w:rFonts w:ascii="宋体" w:eastAsia="宋体" w:hAnsi="宋体" w:cs="宋体" w:hint="eastAsia"/>
                <w:b/>
                <w:bCs/>
                <w:kern w:val="0"/>
                <w:sz w:val="22"/>
              </w:rPr>
              <w:t>项目支出</w:t>
            </w:r>
          </w:p>
        </w:tc>
      </w:tr>
      <w:tr>
        <w:tblPrEx>
          <w:tblW w:w="4996" w:type="pct"/>
          <w:tblLayout w:type="fixed"/>
          <w:tblLook w:val="04A0"/>
        </w:tblPrEx>
        <w:tc>
          <w:tcPr>
            <w:tcW w:w="680" w:type="dxa"/>
            <w:gridSpan w:val="2"/>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68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829"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c>
          <w:tcPr>
            <w:tcW w:w="903" w:type="dxa"/>
            <w:vAlign w:val="center"/>
          </w:tcPr>
          <w:p>
            <w:pPr>
              <w:pageBreakBefore w:val="0"/>
              <w:jc w:val="right"/>
              <w:textAlignment w:val="auto"/>
            </w:pPr>
            <w:r>
              <w:rPr>
                <w:rFonts w:ascii="宋体" w:eastAsia="宋体" w:hAnsi="宋体" w:cs="宋体"/>
                <w:b/>
                <w:i w:val="0"/>
                <w:strike w:val="0"/>
                <w:color w:val="auto"/>
                <w:position w:val="-1"/>
                <w:sz w:val="22"/>
                <w:u w:val="none"/>
              </w:rPr>
              <w:t>0.00</w:t>
            </w:r>
          </w:p>
        </w:tc>
      </w:tr>
    </w:tbl>
    <w:p w:rsidR="0047245A" w14:paraId="5411ADE7"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134" w:right="1417" w:bottom="1134" w:left="1417" w:header="851" w:footer="992" w:gutter="0"/>
          <w:cols w:space="425"/>
          <w:docGrid w:type="linesAndChars" w:linePitch="312"/>
        </w:sectPr>
      </w:pPr>
      <w:r>
        <w:rPr>
          <w:rFonts w:ascii="仿宋" w:eastAsia="仿宋" w:hAnsi="仿宋" w:cs="仿宋"/>
          <w:sz w:val="32"/>
        </w:rPr>
        <w:t>备注：本部门</w:t>
      </w:r>
      <w:r>
        <w:rPr>
          <w:rFonts w:ascii="Times New Roman" w:eastAsia="Times New Roman" w:hAnsi="Times New Roman" w:cs="Times New Roman"/>
          <w:sz w:val="32"/>
        </w:rPr>
        <w:t>2025</w:t>
      </w:r>
      <w:r>
        <w:rPr>
          <w:rFonts w:ascii="仿宋" w:eastAsia="仿宋" w:hAnsi="仿宋" w:cs="仿宋"/>
          <w:sz w:val="32"/>
        </w:rPr>
        <w:t>年没有使用国有资本经营预算拨款安排的支出。</w:t>
      </w:r>
    </w:p>
    <w:p w:rsidR="0047245A" w:rsidP="001D091C" w14:paraId="45496609" w14:textId="77777777">
      <w:pPr>
        <w:pStyle w:val="Heading1"/>
        <w:spacing w:before="0" w:after="0"/>
      </w:pPr>
      <w:bookmarkStart w:id="12" w:name="_Toc15567"/>
      <w:r>
        <w:rPr>
          <w:rFonts w:hint="eastAsia"/>
        </w:rPr>
        <w:t>八、一般公共预算支出经济分类情况表</w:t>
      </w:r>
      <w:bookmarkEnd w:id="12"/>
    </w:p>
    <w:p w:rsidR="0047245A" w14:paraId="2BDC4F6C"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年度一般公共预算支出经济分类情况表</w:t>
      </w:r>
    </w:p>
    <w:p w:rsidR="0047245A" w14:paraId="3DDFA825"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color w:val="000000"/>
          <w:kern w:val="0"/>
          <w:sz w:val="20"/>
          <w:szCs w:val="20"/>
        </w:rPr>
        <w:t>单位：万元</w:t>
      </w:r>
    </w:p>
    <w:tbl>
      <w:tblPr>
        <w:tblStyle w:val="TableGrid"/>
        <w:tblW w:w="0" w:type="auto"/>
        <w:tblLayout w:type="fixed"/>
        <w:tblLook w:val="04A0"/>
      </w:tblPr>
      <w:tblGrid>
        <w:gridCol w:w="1654"/>
        <w:gridCol w:w="4800"/>
        <w:gridCol w:w="2074"/>
      </w:tblGrid>
      <w:tr w14:paraId="1968B70F" w14:textId="77777777">
        <w:tblPrEx>
          <w:tblW w:w="0" w:type="auto"/>
          <w:tblLayout w:type="fixed"/>
          <w:tblLook w:val="04A0"/>
        </w:tblPrEx>
        <w:trPr>
          <w:trHeight w:val="596"/>
        </w:trPr>
        <w:tc>
          <w:tcPr>
            <w:tcW w:w="1654" w:type="dxa"/>
            <w:vAlign w:val="center"/>
          </w:tcPr>
          <w:p w:rsidR="0047245A" w14:paraId="484258FA"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科目编码</w:t>
            </w:r>
          </w:p>
        </w:tc>
        <w:tc>
          <w:tcPr>
            <w:tcW w:w="4800" w:type="dxa"/>
            <w:vAlign w:val="center"/>
          </w:tcPr>
          <w:p w:rsidR="0047245A" w14:paraId="345C37E0"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科目名称</w:t>
            </w:r>
          </w:p>
        </w:tc>
        <w:tc>
          <w:tcPr>
            <w:tcW w:w="2074" w:type="dxa"/>
            <w:vAlign w:val="center"/>
          </w:tcPr>
          <w:p w:rsidR="0047245A" w14:paraId="50D86A09"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预算数</w:t>
            </w:r>
          </w:p>
        </w:tc>
      </w:tr>
      <w:tr>
        <w:tblPrEx>
          <w:tblW w:w="0" w:type="auto"/>
          <w:tblLayout w:type="fixed"/>
          <w:tblLook w:val="04A0"/>
        </w:tblPrEx>
        <w:tc>
          <w:tcPr>
            <w:tcW w:w="165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2074" w:type="dxa"/>
            <w:vAlign w:val="center"/>
          </w:tcPr>
          <w:p>
            <w:pPr>
              <w:pageBreakBefore w:val="0"/>
              <w:jc w:val="right"/>
              <w:textAlignment w:val="auto"/>
            </w:pPr>
            <w:r>
              <w:rPr>
                <w:rFonts w:ascii="宋体" w:eastAsia="宋体" w:hAnsi="宋体" w:cs="宋体"/>
                <w:b/>
                <w:i w:val="0"/>
                <w:strike w:val="0"/>
                <w:color w:val="000000"/>
                <w:position w:val="-1"/>
                <w:sz w:val="22"/>
                <w:u w:val="none"/>
              </w:rPr>
              <w:t>4142.43</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工资福利支出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2787.32</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商品和服务支出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997.63</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对个人和家庭的补助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7.48</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307</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债务利息及费用支出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309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310</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资本性支出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350.00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311</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对企业补助（基本建设）</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312</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对企业补助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313</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对社会保障基金补助</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r>
        <w:tblPrEx>
          <w:tblW w:w="0" w:type="auto"/>
          <w:tblLayout w:type="fixed"/>
          <w:tblLook w:val="04A0"/>
        </w:tblPrEx>
        <w:tc>
          <w:tcPr>
            <w:tcW w:w="1654" w:type="dxa"/>
            <w:vAlign w:val="center"/>
          </w:tcPr>
          <w:p>
            <w:pPr>
              <w:pageBreakBefore w:val="0"/>
              <w:jc w:val="left"/>
              <w:textAlignment w:val="auto"/>
            </w:pPr>
            <w:r>
              <w:rPr>
                <w:rFonts w:ascii="宋体" w:eastAsia="宋体" w:hAnsi="宋体" w:cs="宋体"/>
                <w:b w:val="0"/>
                <w:i w:val="0"/>
                <w:strike w:val="0"/>
                <w:color w:val="000000"/>
                <w:position w:val="-1"/>
                <w:sz w:val="22"/>
                <w:u w:val="none"/>
              </w:rPr>
              <w:t>399</w:t>
            </w:r>
          </w:p>
        </w:tc>
        <w:tc>
          <w:tcPr>
            <w:tcW w:w="4800" w:type="dxa"/>
            <w:vAlign w:val="center"/>
          </w:tcPr>
          <w:p>
            <w:pPr>
              <w:pageBreakBefore w:val="0"/>
              <w:jc w:val="left"/>
              <w:textAlignment w:val="auto"/>
            </w:pPr>
            <w:r>
              <w:rPr>
                <w:rFonts w:ascii="宋体" w:eastAsia="宋体" w:hAnsi="宋体" w:cs="宋体"/>
                <w:b w:val="0"/>
                <w:i w:val="0"/>
                <w:strike w:val="0"/>
                <w:color w:val="000000"/>
                <w:position w:val="-1"/>
                <w:sz w:val="22"/>
                <w:u w:val="none"/>
              </w:rPr>
              <w:t>其他支出</w:t>
            </w:r>
          </w:p>
        </w:tc>
        <w:tc>
          <w:tcPr>
            <w:tcW w:w="2074" w:type="dxa"/>
            <w:vAlign w:val="center"/>
          </w:tcPr>
          <w:p>
            <w:pPr>
              <w:pageBreakBefore w:val="0"/>
              <w:jc w:val="right"/>
              <w:textAlignment w:val="auto"/>
            </w:pPr>
            <w:r>
              <w:rPr>
                <w:rFonts w:ascii="宋体" w:eastAsia="宋体" w:hAnsi="宋体" w:cs="宋体"/>
                <w:b w:val="0"/>
                <w:i w:val="0"/>
                <w:strike w:val="0"/>
                <w:color w:val="000000"/>
                <w:position w:val="-1"/>
                <w:sz w:val="22"/>
                <w:u w:val="none"/>
              </w:rPr>
              <w:t>0.00</w:t>
            </w:r>
          </w:p>
        </w:tc>
      </w:tr>
    </w:tbl>
    <w:p w:rsidR="0047245A" w14:paraId="57BCBB3C"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7E67CFEC" w14:textId="77777777">
      <w:pPr>
        <w:pStyle w:val="Heading1"/>
        <w:spacing w:before="0" w:after="0"/>
      </w:pPr>
      <w:bookmarkStart w:id="13" w:name="_Toc14215"/>
      <w:r>
        <w:rPr>
          <w:rFonts w:hint="eastAsia"/>
        </w:rPr>
        <w:t>九、一般公共预算</w:t>
      </w:r>
      <w:bookmarkEnd w:id="13"/>
      <w:r>
        <w:rPr>
          <w:rFonts w:hint="eastAsia"/>
        </w:rPr>
        <w:t>基本支出经济分类情况表</w:t>
      </w:r>
    </w:p>
    <w:p w:rsidR="0047245A" w14:paraId="6FA09CD9"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年度一般公共预算基本支出经济分类情况表</w:t>
      </w:r>
    </w:p>
    <w:p w:rsidR="0047245A" w14:paraId="7FAE2471"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8613" w:type="dxa"/>
        <w:tblLayout w:type="fixed"/>
        <w:tblLook w:val="04A0"/>
      </w:tblPr>
      <w:tblGrid>
        <w:gridCol w:w="1194"/>
        <w:gridCol w:w="5718"/>
        <w:gridCol w:w="1701"/>
      </w:tblGrid>
      <w:tr w14:paraId="08EA5A27" w14:textId="77777777">
        <w:tblPrEx>
          <w:tblW w:w="8613" w:type="dxa"/>
          <w:tblLayout w:type="fixed"/>
          <w:tblLook w:val="04A0"/>
        </w:tblPrEx>
        <w:trPr>
          <w:trHeight w:val="482"/>
        </w:trPr>
        <w:tc>
          <w:tcPr>
            <w:tcW w:w="1194" w:type="dxa"/>
            <w:vAlign w:val="center"/>
          </w:tcPr>
          <w:p w:rsidR="0047245A" w14:paraId="56B90DBE"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科目编码</w:t>
            </w:r>
          </w:p>
        </w:tc>
        <w:tc>
          <w:tcPr>
            <w:tcW w:w="5718" w:type="dxa"/>
            <w:vAlign w:val="center"/>
          </w:tcPr>
          <w:p w:rsidR="0047245A" w14:paraId="14511442"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科目名称</w:t>
            </w:r>
          </w:p>
        </w:tc>
        <w:tc>
          <w:tcPr>
            <w:tcW w:w="1701" w:type="dxa"/>
            <w:vAlign w:val="center"/>
          </w:tcPr>
          <w:p w:rsidR="0047245A" w14:paraId="0582E07A" w14:textId="77777777">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预算数</w:t>
            </w:r>
          </w:p>
        </w:tc>
      </w:tr>
      <w:tr>
        <w:tblPrEx>
          <w:tblW w:w="8613" w:type="dxa"/>
          <w:tblLayout w:type="fixed"/>
          <w:tblLook w:val="04A0"/>
        </w:tblPrEx>
        <w:tc>
          <w:tcPr>
            <w:tcW w:w="1194" w:type="dxa"/>
            <w:gridSpan w:val="2"/>
            <w:vAlign w:val="center"/>
          </w:tcPr>
          <w:p>
            <w:pPr>
              <w:pageBreakBefore w:val="0"/>
              <w:jc w:val="center"/>
              <w:textAlignment w:val="auto"/>
            </w:pPr>
            <w:r>
              <w:rPr>
                <w:rFonts w:ascii="宋体" w:eastAsia="宋体" w:hAnsi="宋体" w:cs="宋体"/>
                <w:b/>
                <w:i w:val="0"/>
                <w:strike w:val="0"/>
                <w:color w:val="000000"/>
                <w:position w:val="-1"/>
                <w:sz w:val="22"/>
                <w:u w:val="none"/>
              </w:rPr>
              <w:t>合计</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2648.43</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301</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工资福利支出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2395.32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基本工资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409.86</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津贴补贴</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776.65</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奖金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459.96</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绩效工资</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45.82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机关事业单位基本养老保险缴费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227.98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30109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职业年金缴费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113.98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30110</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职工基本医疗保险缴费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86.86</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公务员医疗补助缴费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55.32</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其他社会保障缴费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3.31</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30113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住房公积金</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212.73</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30199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其他工资福利支出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2.85</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302</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商品和服务支出</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245.63</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办公费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30202</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印刷费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30205</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水费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0.84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30206</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电费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21.00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30207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邮电费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30.84</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差旅费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4.20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30213</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维修(护)费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30214</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租赁费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23.50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30217</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公务接待费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30226</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劳务费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30228</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工会经费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24.50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30231</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公务用车运行维护费</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9.00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30239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其他交通费用</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68.05</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30299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其他商品和服务支出</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36.70</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i w:val="0"/>
                <w:strike w:val="0"/>
                <w:color w:val="000000"/>
                <w:position w:val="-1"/>
                <w:sz w:val="18"/>
                <w:u w:val="none"/>
              </w:rPr>
              <w:t>303</w:t>
            </w:r>
          </w:p>
        </w:tc>
        <w:tc>
          <w:tcPr>
            <w:tcW w:w="5718" w:type="dxa"/>
            <w:vAlign w:val="center"/>
          </w:tcPr>
          <w:p>
            <w:pPr>
              <w:pageBreakBefore w:val="0"/>
              <w:jc w:val="left"/>
              <w:textAlignment w:val="auto"/>
            </w:pPr>
            <w:r>
              <w:rPr>
                <w:rFonts w:ascii="宋体" w:eastAsia="宋体" w:hAnsi="宋体" w:cs="宋体"/>
                <w:b/>
                <w:i w:val="0"/>
                <w:strike w:val="0"/>
                <w:color w:val="000000"/>
                <w:position w:val="-1"/>
                <w:sz w:val="18"/>
                <w:u w:val="none"/>
              </w:rPr>
              <w:t>对个人和家庭的补助</w:t>
            </w:r>
          </w:p>
        </w:tc>
        <w:tc>
          <w:tcPr>
            <w:tcW w:w="1701" w:type="dxa"/>
            <w:vAlign w:val="center"/>
          </w:tcPr>
          <w:p>
            <w:pPr>
              <w:pageBreakBefore w:val="0"/>
              <w:jc w:val="right"/>
              <w:textAlignment w:val="auto"/>
            </w:pPr>
            <w:r>
              <w:rPr>
                <w:rFonts w:ascii="宋体" w:eastAsia="宋体" w:hAnsi="宋体" w:cs="宋体"/>
                <w:b/>
                <w:i w:val="0"/>
                <w:strike w:val="0"/>
                <w:color w:val="000000"/>
                <w:position w:val="-1"/>
                <w:sz w:val="18"/>
                <w:u w:val="none"/>
              </w:rPr>
              <w:t>7.48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30305</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生活补助</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5.88</w:t>
            </w:r>
          </w:p>
        </w:tc>
      </w:tr>
      <w:tr>
        <w:tblPrEx>
          <w:tblW w:w="8613" w:type="dxa"/>
          <w:tblLayout w:type="fixed"/>
          <w:tblLook w:val="04A0"/>
        </w:tblPrEx>
        <w:tc>
          <w:tcPr>
            <w:tcW w:w="1194" w:type="dxa"/>
            <w:vAlign w:val="center"/>
          </w:tcPr>
          <w:p>
            <w:pPr>
              <w:pageBreakBefore w:val="0"/>
              <w:jc w:val="left"/>
              <w:textAlignment w:val="auto"/>
            </w:pPr>
            <w:r>
              <w:rPr>
                <w:rFonts w:ascii="宋体" w:eastAsia="宋体" w:hAnsi="宋体" w:cs="宋体"/>
                <w:b w:val="0"/>
                <w:i w:val="0"/>
                <w:strike w:val="0"/>
                <w:color w:val="000000"/>
                <w:position w:val="-1"/>
                <w:sz w:val="18"/>
                <w:u w:val="none"/>
              </w:rPr>
              <w:t>30399</w:t>
            </w:r>
          </w:p>
        </w:tc>
        <w:tc>
          <w:tcPr>
            <w:tcW w:w="5718" w:type="dxa"/>
            <w:vAlign w:val="center"/>
          </w:tcPr>
          <w:p>
            <w:pPr>
              <w:pageBreakBefore w:val="0"/>
              <w:jc w:val="left"/>
              <w:textAlignment w:val="auto"/>
            </w:pPr>
            <w:r>
              <w:rPr>
                <w:rFonts w:ascii="宋体" w:eastAsia="宋体" w:hAnsi="宋体" w:cs="宋体"/>
                <w:b w:val="0"/>
                <w:i w:val="0"/>
                <w:strike w:val="0"/>
                <w:color w:val="000000"/>
                <w:position w:val="-1"/>
                <w:sz w:val="18"/>
                <w:u w:val="none"/>
              </w:rPr>
              <w:t>其他对个人和家庭的补助</w:t>
            </w:r>
          </w:p>
        </w:tc>
        <w:tc>
          <w:tcPr>
            <w:tcW w:w="1701" w:type="dxa"/>
            <w:vAlign w:val="center"/>
          </w:tcPr>
          <w:p>
            <w:pPr>
              <w:pageBreakBefore w:val="0"/>
              <w:jc w:val="right"/>
              <w:textAlignment w:val="auto"/>
            </w:pPr>
            <w:r>
              <w:rPr>
                <w:rFonts w:ascii="宋体" w:eastAsia="宋体" w:hAnsi="宋体" w:cs="宋体"/>
                <w:b w:val="0"/>
                <w:i w:val="0"/>
                <w:strike w:val="0"/>
                <w:color w:val="000000"/>
                <w:position w:val="-1"/>
                <w:sz w:val="18"/>
                <w:u w:val="none"/>
              </w:rPr>
              <w:t>1.60</w:t>
            </w:r>
          </w:p>
        </w:tc>
      </w:tr>
    </w:tbl>
    <w:p w:rsidR="0047245A" w14:paraId="319B00EC" w14:textId="77777777">
      <w:pPr>
        <w:tabs>
          <w:tab w:val="left" w:pos="7513"/>
        </w:tabs>
        <w:adjustRightInd w:val="0"/>
        <w:snapToGrid w:val="0"/>
        <w:spacing w:line="600" w:lineRule="exact"/>
        <w:jc w:val="center"/>
        <w:rPr>
          <w:rFonts w:ascii="仿宋" w:eastAsia="仿宋" w:hAnsi="仿宋" w:hint="eastAsia"/>
          <w:sz w:val="32"/>
          <w:szCs w:val="32"/>
        </w:rPr>
        <w:sectPr w:rsidSect="00485CB9">
          <w:pgSz w:w="11906" w:h="16838"/>
          <w:pgMar w:top="567" w:right="1797" w:bottom="567" w:left="1797" w:header="851" w:footer="992" w:gutter="0"/>
          <w:cols w:space="425"/>
          <w:docGrid w:type="linesAndChars" w:linePitch="312"/>
        </w:sectPr>
      </w:pPr>
      <w:r>
        <w:rPr>
          <w:rFonts w:ascii="仿宋" w:eastAsia="仿宋" w:hAnsi="仿宋" w:hint="eastAsia"/>
          <w:sz w:val="32"/>
          <w:szCs w:val="32"/>
        </w:rPr>
        <w:t xml:space="preserve"> </w:t>
      </w:r>
    </w:p>
    <w:p w:rsidR="0047245A" w:rsidP="001D091C" w14:paraId="227F3BC6" w14:textId="77777777">
      <w:pPr>
        <w:pStyle w:val="Heading1"/>
        <w:spacing w:before="0" w:after="0"/>
      </w:pPr>
      <w:bookmarkStart w:id="14" w:name="_Toc18262"/>
      <w:r>
        <w:rPr>
          <w:rFonts w:hint="eastAsia"/>
        </w:rPr>
        <w:t>十、一般公共预算“三公”经费支出预算表</w:t>
      </w:r>
      <w:bookmarkEnd w:id="14"/>
    </w:p>
    <w:p w:rsidR="0047245A" w14:paraId="0624CCD6" w14:textId="77777777">
      <w:pPr>
        <w:tabs>
          <w:tab w:val="left" w:pos="7513"/>
        </w:tabs>
        <w:adjustRightInd w:val="0"/>
        <w:snapToGrid w:val="0"/>
        <w:spacing w:line="600" w:lineRule="exact"/>
        <w:jc w:val="center"/>
        <w:rPr>
          <w:rFonts w:ascii="仿宋" w:eastAsia="仿宋" w:hAnsi="仿宋" w:hint="eastAsia"/>
          <w:sz w:val="32"/>
          <w:szCs w:val="32"/>
        </w:rPr>
      </w:pPr>
      <w:r>
        <w:rPr>
          <w:rFonts w:ascii="Times New Roman" w:eastAsia="Times New Roman" w:hAnsi="Times New Roman" w:cs="Times New Roman"/>
          <w:sz w:val="32"/>
        </w:rPr>
        <w:t>2025</w:t>
      </w:r>
      <w:r>
        <w:rPr>
          <w:rFonts w:ascii="方正小标宋简体" w:eastAsia="方正小标宋简体" w:hAnsi="方正小标宋简体" w:cs="方正小标宋简体"/>
          <w:sz w:val="32"/>
        </w:rPr>
        <w:t>年度一般公共预算“三公”经费支出预算表</w:t>
      </w:r>
    </w:p>
    <w:p w:rsidR="0047245A" w14:paraId="4CD2E02B" w14:textId="77777777">
      <w:pPr>
        <w:tabs>
          <w:tab w:val="left" w:pos="7513"/>
        </w:tabs>
        <w:adjustRightInd w:val="0"/>
        <w:snapToGrid w:val="0"/>
        <w:spacing w:line="300" w:lineRule="exact"/>
        <w:jc w:val="right"/>
        <w:rPr>
          <w:rFonts w:ascii="仿宋" w:eastAsia="仿宋" w:hAnsi="仿宋" w:hint="eastAsia"/>
          <w:sz w:val="32"/>
          <w:szCs w:val="32"/>
        </w:rPr>
      </w:pPr>
      <w:r>
        <w:rPr>
          <w:rFonts w:ascii="宋体" w:eastAsia="宋体" w:hAnsi="宋体" w:cs="宋体" w:hint="eastAsia"/>
          <w:kern w:val="0"/>
          <w:sz w:val="22"/>
        </w:rPr>
        <w:t>单位：万元</w:t>
      </w:r>
    </w:p>
    <w:tbl>
      <w:tblPr>
        <w:tblStyle w:val="TableGrid"/>
        <w:tblW w:w="0" w:type="auto"/>
        <w:tblLook w:val="04A0"/>
      </w:tblPr>
      <w:tblGrid>
        <w:gridCol w:w="4264"/>
        <w:gridCol w:w="4264"/>
      </w:tblGrid>
      <w:tr w14:paraId="293AFEDB" w14:textId="77777777">
        <w:tblPrEx>
          <w:tblW w:w="0" w:type="auto"/>
          <w:tblLook w:val="04A0"/>
        </w:tblPrEx>
        <w:trPr>
          <w:trHeight w:val="541"/>
        </w:trPr>
        <w:tc>
          <w:tcPr>
            <w:tcW w:w="4264" w:type="dxa"/>
            <w:vAlign w:val="center"/>
          </w:tcPr>
          <w:p w:rsidR="0047245A" w14:paraId="50EEB4D3" w14:textId="77777777">
            <w:pPr>
              <w:widowControl/>
              <w:jc w:val="center"/>
              <w:rPr>
                <w:rFonts w:ascii="宋体" w:eastAsia="宋体" w:hAnsi="宋体" w:cs="宋体" w:hint="eastAsia"/>
                <w:b/>
                <w:bCs/>
                <w:kern w:val="0"/>
                <w:sz w:val="22"/>
              </w:rPr>
            </w:pPr>
            <w:r>
              <w:rPr>
                <w:rFonts w:ascii="宋体" w:eastAsia="宋体" w:hAnsi="宋体" w:cs="宋体" w:hint="eastAsia"/>
                <w:b/>
                <w:bCs/>
                <w:kern w:val="0"/>
                <w:sz w:val="22"/>
              </w:rPr>
              <w:t>项目</w:t>
            </w:r>
          </w:p>
        </w:tc>
        <w:tc>
          <w:tcPr>
            <w:tcW w:w="4264" w:type="dxa"/>
            <w:vAlign w:val="center"/>
          </w:tcPr>
          <w:p w:rsidR="0047245A" w14:paraId="709BEF5F" w14:textId="77777777">
            <w:pPr>
              <w:widowControl/>
              <w:jc w:val="center"/>
              <w:rPr>
                <w:rFonts w:ascii="宋体" w:eastAsia="宋体" w:hAnsi="宋体" w:cs="宋体" w:hint="eastAsia"/>
                <w:b/>
                <w:bCs/>
                <w:kern w:val="0"/>
                <w:sz w:val="22"/>
              </w:rPr>
            </w:pPr>
            <w:r>
              <w:rPr>
                <w:rFonts w:ascii="宋体" w:eastAsia="宋体" w:hAnsi="宋体" w:cs="宋体" w:hint="eastAsia"/>
                <w:b/>
                <w:bCs/>
                <w:kern w:val="0"/>
                <w:sz w:val="22"/>
              </w:rPr>
              <w:t>预算数</w:t>
            </w:r>
          </w:p>
        </w:tc>
      </w:tr>
      <w:tr>
        <w:tblPrEx>
          <w:tblW w:w="0" w:type="auto"/>
          <w:tblLook w:val="04A0"/>
        </w:tblPrEx>
        <w:tc>
          <w:tcPr>
            <w:vAlign w:val="center"/>
          </w:tcPr>
          <w:p>
            <w:pPr>
              <w:pageBreakBefore w:val="0"/>
              <w:jc w:val="center"/>
              <w:textAlignment w:val="auto"/>
            </w:pPr>
            <w:r>
              <w:rPr>
                <w:rFonts w:ascii="宋体" w:eastAsia="宋体" w:hAnsi="宋体" w:cs="宋体"/>
                <w:b/>
                <w:i w:val="0"/>
                <w:strike w:val="0"/>
                <w:color w:val="auto"/>
                <w:position w:val="-1"/>
                <w:sz w:val="22"/>
                <w:u w:val="none"/>
              </w:rPr>
              <w:t>合计</w:t>
            </w:r>
          </w:p>
        </w:tc>
        <w:tc>
          <w:tcPr>
            <w:tcW w:w="4264" w:type="dxa"/>
            <w:vAlign w:val="center"/>
          </w:tcPr>
          <w:p>
            <w:pPr>
              <w:pageBreakBefore w:val="0"/>
              <w:jc w:val="right"/>
              <w:textAlignment w:val="auto"/>
            </w:pPr>
            <w:r>
              <w:rPr>
                <w:rFonts w:ascii="宋体" w:eastAsia="宋体" w:hAnsi="宋体" w:cs="宋体"/>
                <w:b/>
                <w:i w:val="0"/>
                <w:strike w:val="0"/>
                <w:color w:val="auto"/>
                <w:position w:val="-1"/>
                <w:sz w:val="22"/>
                <w:u w:val="none"/>
              </w:rPr>
              <w:t>11.50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1、因公出国（境）费用</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2、公务接待费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2.50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3、公务用车购置及运行费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9.00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其中：（1）公务用车购置费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0.00</w:t>
            </w:r>
          </w:p>
        </w:tc>
      </w:tr>
      <w:tr>
        <w:tblPrEx>
          <w:tblW w:w="0" w:type="auto"/>
          <w:tblLook w:val="04A0"/>
        </w:tblPrEx>
        <w:tc>
          <w:tcPr>
            <w:tcW w:w="4264" w:type="dxa"/>
            <w:vAlign w:val="center"/>
          </w:tcPr>
          <w:p>
            <w:pPr>
              <w:pageBreakBefore w:val="0"/>
              <w:jc w:val="left"/>
              <w:textAlignment w:val="auto"/>
            </w:pPr>
            <w:r>
              <w:rPr>
                <w:rFonts w:ascii="宋体" w:eastAsia="宋体" w:hAnsi="宋体" w:cs="宋体"/>
                <w:b w:val="0"/>
                <w:i w:val="0"/>
                <w:strike w:val="0"/>
                <w:color w:val="auto"/>
                <w:position w:val="-1"/>
                <w:sz w:val="22"/>
                <w:u w:val="none"/>
              </w:rPr>
              <w:t>（2）公务用车运行费</w:t>
            </w:r>
          </w:p>
        </w:tc>
        <w:tc>
          <w:tcPr>
            <w:tcW w:w="4264" w:type="dxa"/>
            <w:vAlign w:val="center"/>
          </w:tcPr>
          <w:p>
            <w:pPr>
              <w:pageBreakBefore w:val="0"/>
              <w:jc w:val="right"/>
              <w:textAlignment w:val="auto"/>
            </w:pPr>
            <w:r>
              <w:rPr>
                <w:rFonts w:ascii="宋体" w:eastAsia="宋体" w:hAnsi="宋体" w:cs="宋体"/>
                <w:b w:val="0"/>
                <w:i w:val="0"/>
                <w:strike w:val="0"/>
                <w:color w:val="auto"/>
                <w:position w:val="-1"/>
                <w:sz w:val="22"/>
                <w:u w:val="none"/>
              </w:rPr>
              <w:t>9.00</w:t>
            </w:r>
          </w:p>
        </w:tc>
      </w:tr>
    </w:tbl>
    <w:p w:rsidR="0047245A" w:rsidP="00333AA8" w14:paraId="3A7A1A7B" w14:textId="77777777">
      <w:pPr>
        <w:tabs>
          <w:tab w:val="left" w:pos="7513"/>
        </w:tabs>
        <w:adjustRightInd w:val="0"/>
        <w:snapToGrid w:val="0"/>
        <w:spacing w:line="600" w:lineRule="exact"/>
        <w:jc w:val="left"/>
        <w:rPr>
          <w:rFonts w:ascii="仿宋" w:eastAsia="仿宋" w:hAnsi="仿宋" w:hint="eastAsia"/>
          <w:sz w:val="32"/>
          <w:szCs w:val="32"/>
        </w:rPr>
        <w:sectPr w:rsidSect="00485CB9">
          <w:pgSz w:w="11906" w:h="16838"/>
          <w:pgMar w:top="1440" w:right="1797" w:bottom="1440" w:left="1797" w:header="851" w:footer="992" w:gutter="0"/>
          <w:cols w:space="425"/>
          <w:docGrid w:type="linesAndChars" w:linePitch="312"/>
        </w:sectPr>
      </w:pPr>
      <w:r>
        <w:rPr>
          <w:rFonts w:ascii="仿宋" w:eastAsia="仿宋" w:hAnsi="仿宋" w:hint="eastAsia"/>
          <w:sz w:val="32"/>
          <w:szCs w:val="32"/>
        </w:rPr>
        <w:t xml:space="preserve"> </w:t>
      </w:r>
    </w:p>
    <w:p w:rsidR="0047245A" w14:paraId="7956C635" w14:textId="77777777">
      <w:pPr>
        <w:pStyle w:val="BodyText"/>
        <w:jc w:val="center"/>
        <w:rPr>
          <w:rFonts w:ascii="黑体" w:eastAsia="黑体" w:hAnsi="黑体" w:hint="eastAsia"/>
          <w:sz w:val="36"/>
          <w:szCs w:val="36"/>
        </w:rPr>
      </w:pPr>
    </w:p>
    <w:p w:rsidR="0047245A" w14:paraId="10FEE42E" w14:textId="77777777">
      <w:pPr>
        <w:pStyle w:val="BodyText"/>
        <w:jc w:val="center"/>
        <w:rPr>
          <w:rFonts w:ascii="黑体" w:eastAsia="黑体" w:hAnsi="黑体" w:hint="eastAsia"/>
          <w:sz w:val="36"/>
          <w:szCs w:val="36"/>
        </w:rPr>
      </w:pPr>
    </w:p>
    <w:p w:rsidR="0047245A" w14:paraId="1D84752E" w14:textId="77777777">
      <w:pPr>
        <w:pStyle w:val="BodyText"/>
        <w:jc w:val="center"/>
        <w:rPr>
          <w:rFonts w:ascii="黑体" w:eastAsia="黑体" w:hAnsi="黑体" w:hint="eastAsia"/>
          <w:sz w:val="36"/>
          <w:szCs w:val="36"/>
        </w:rPr>
      </w:pPr>
    </w:p>
    <w:p w:rsidR="0047245A" w14:paraId="7D902F96" w14:textId="77777777">
      <w:pPr>
        <w:pStyle w:val="BodyText"/>
        <w:jc w:val="center"/>
        <w:rPr>
          <w:rFonts w:ascii="黑体" w:eastAsia="黑体" w:hAnsi="黑体" w:hint="eastAsia"/>
          <w:sz w:val="36"/>
          <w:szCs w:val="36"/>
        </w:rPr>
      </w:pPr>
    </w:p>
    <w:p w:rsidR="0047245A" w14:paraId="1F7E9171" w14:textId="77777777">
      <w:pPr>
        <w:pStyle w:val="BodyText"/>
        <w:jc w:val="center"/>
        <w:rPr>
          <w:rFonts w:ascii="黑体" w:eastAsia="黑体" w:hAnsi="黑体" w:hint="eastAsia"/>
          <w:sz w:val="36"/>
          <w:szCs w:val="36"/>
        </w:rPr>
      </w:pPr>
    </w:p>
    <w:p w:rsidR="0047245A" w14:paraId="559E70F2" w14:textId="77777777">
      <w:pPr>
        <w:pStyle w:val="BodyText"/>
        <w:jc w:val="center"/>
        <w:rPr>
          <w:rFonts w:ascii="黑体" w:eastAsia="黑体" w:hAnsi="黑体" w:hint="eastAsia"/>
          <w:sz w:val="36"/>
          <w:szCs w:val="36"/>
        </w:rPr>
      </w:pPr>
    </w:p>
    <w:p w:rsidR="0047245A" w14:paraId="3A5FC609" w14:textId="77777777">
      <w:pPr>
        <w:pStyle w:val="BodyText"/>
        <w:jc w:val="center"/>
        <w:rPr>
          <w:rFonts w:ascii="黑体" w:eastAsia="黑体" w:hAnsi="黑体" w:hint="eastAsia"/>
          <w:sz w:val="36"/>
          <w:szCs w:val="36"/>
        </w:rPr>
      </w:pPr>
    </w:p>
    <w:p w:rsidR="0047245A" w14:paraId="073D241C" w14:textId="77777777">
      <w:pPr>
        <w:pStyle w:val="BodyText"/>
        <w:jc w:val="center"/>
        <w:rPr>
          <w:rFonts w:ascii="黑体" w:eastAsia="黑体" w:hAnsi="黑体" w:hint="eastAsia"/>
          <w:sz w:val="36"/>
          <w:szCs w:val="36"/>
        </w:rPr>
      </w:pPr>
    </w:p>
    <w:p w:rsidR="0047245A" w14:paraId="4F9EFBAC" w14:textId="77777777">
      <w:pPr>
        <w:pStyle w:val="BodyText"/>
        <w:jc w:val="left"/>
        <w:rPr>
          <w:rFonts w:ascii="黑体" w:eastAsia="黑体" w:hAnsi="黑体" w:hint="eastAsia"/>
          <w:sz w:val="56"/>
          <w:szCs w:val="36"/>
        </w:rPr>
      </w:pPr>
      <w:r>
        <w:rPr>
          <w:rFonts w:ascii="黑体" w:eastAsia="黑体" w:hAnsi="黑体" w:hint="eastAsia"/>
          <w:sz w:val="56"/>
          <w:szCs w:val="36"/>
        </w:rPr>
        <w:t>第三部分</w:t>
      </w:r>
      <w:r>
        <w:rPr>
          <w:rFonts w:ascii="黑体" w:eastAsia="黑体" w:hAnsi="黑体"/>
          <w:sz w:val="56"/>
          <w:szCs w:val="36"/>
        </w:rPr>
        <w:t xml:space="preserve"> </w:t>
      </w:r>
    </w:p>
    <w:p w:rsidR="0047245A" w14:paraId="2129C37D" w14:textId="77777777">
      <w:pPr>
        <w:pStyle w:val="Heading1"/>
        <w:jc w:val="center"/>
        <w:rPr>
          <w:rFonts w:ascii="黑体" w:hAnsi="黑体" w:hint="eastAsia"/>
          <w:b w:val="0"/>
          <w:bCs/>
          <w:sz w:val="56"/>
          <w:szCs w:val="36"/>
        </w:rPr>
      </w:pPr>
      <w:bookmarkStart w:id="15" w:name="_Toc11315"/>
      <w:bookmarkEnd w:id="15"/>
      <w:r>
        <w:rPr>
          <w:rFonts w:ascii="Times New Roman" w:eastAsia="Times New Roman" w:hAnsi="Times New Roman" w:cs="Times New Roman"/>
          <w:sz w:val="56"/>
        </w:rPr>
        <w:t>2025</w:t>
      </w:r>
      <w:r>
        <w:rPr>
          <w:rFonts w:ascii="黑体" w:eastAsia="黑体" w:hAnsi="黑体" w:cs="黑体"/>
          <w:sz w:val="56"/>
        </w:rPr>
        <w:t>年度部门预算情况说明</w:t>
      </w:r>
    </w:p>
    <w:p w:rsidR="0047245A" w14:paraId="5A3D4942" w14:textId="77777777">
      <w:pPr>
        <w:ind w:firstLine="640" w:firstLineChars="200"/>
        <w:rPr>
          <w:rFonts w:ascii="仿宋" w:eastAsia="仿宋" w:hAnsi="仿宋" w:cs="仿宋_GB2312" w:hint="eastAsia"/>
          <w:sz w:val="32"/>
          <w:szCs w:val="32"/>
        </w:rPr>
      </w:pPr>
    </w:p>
    <w:p w:rsidR="0047245A" w14:paraId="7C304150" w14:textId="77777777">
      <w:pPr>
        <w:tabs>
          <w:tab w:val="left" w:pos="7513"/>
        </w:tabs>
        <w:adjustRightInd w:val="0"/>
        <w:snapToGrid w:val="0"/>
        <w:spacing w:line="600" w:lineRule="exact"/>
        <w:rPr>
          <w:rFonts w:ascii="仿宋" w:eastAsia="仿宋" w:hAnsi="仿宋" w:hint="eastAsia"/>
          <w:b/>
          <w:sz w:val="32"/>
          <w:szCs w:val="32"/>
        </w:rPr>
        <w:sectPr w:rsidSect="00485CB9">
          <w:pgSz w:w="11906" w:h="16838"/>
          <w:pgMar w:top="1440" w:right="1800" w:bottom="1440" w:left="1800" w:header="851" w:footer="992" w:gutter="0"/>
          <w:cols w:space="425"/>
          <w:docGrid w:type="lines" w:linePitch="312"/>
        </w:sectPr>
      </w:pPr>
    </w:p>
    <w:p w:rsidR="0047245A" w:rsidP="00420FD3" w14:paraId="6246A02F" w14:textId="03DBFACD">
      <w:pPr>
        <w:autoSpaceDE w:val="0"/>
        <w:autoSpaceDN w:val="0"/>
        <w:rPr>
          <w:rFonts w:ascii="黑体" w:eastAsia="黑体" w:hAnsi="黑体" w:hint="eastAsia"/>
          <w:sz w:val="36"/>
          <w:szCs w:val="36"/>
        </w:rPr>
      </w:pPr>
      <w:r>
        <w:rPr>
          <w:rFonts w:ascii="黑体" w:eastAsia="黑体" w:hAnsi="黑体"/>
          <w:sz w:val="36"/>
          <w:szCs w:val="36"/>
        </w:rPr>
        <w:t xml:space="preserve"> </w:t>
      </w:r>
    </w:p>
    <w:p w:rsidR="0047245A" w:rsidP="001D091C" w14:paraId="4A7C0A4F" w14:textId="77777777">
      <w:pPr>
        <w:pStyle w:val="Heading1"/>
        <w:numPr>
          <w:ilvl w:val="0"/>
          <w:numId w:val="1"/>
        </w:numPr>
        <w:spacing w:before="0" w:after="0"/>
      </w:pPr>
      <w:bookmarkStart w:id="16" w:name="_Toc2074"/>
      <w:r>
        <w:rPr>
          <w:rFonts w:hint="eastAsia"/>
        </w:rPr>
        <w:t>预算收支总体情况</w:t>
      </w:r>
      <w:bookmarkEnd w:id="16"/>
    </w:p>
    <w:p w:rsidR="0047245A" w14:paraId="13A44D5F" w14:textId="77777777">
      <w:pPr>
        <w:tabs>
          <w:tab w:val="left" w:pos="7513"/>
        </w:tabs>
        <w:adjustRightInd w:val="0"/>
        <w:snapToGrid w:val="0"/>
        <w:spacing w:line="600" w:lineRule="exact"/>
        <w:ind w:firstLine="640" w:firstLineChars="200"/>
        <w:rPr>
          <w:rFonts w:ascii="仿宋" w:eastAsia="仿宋" w:hAnsi="仿宋" w:hint="eastAsia"/>
          <w:sz w:val="32"/>
          <w:szCs w:val="32"/>
        </w:rPr>
      </w:pPr>
      <w:r>
        <w:rPr>
          <w:rFonts w:ascii="仿宋" w:eastAsia="仿宋" w:hAnsi="仿宋" w:cs="仿宋"/>
          <w:sz w:val="32"/>
        </w:rPr>
        <w:t>按照综合预算的原则，部门所有收入和支出均纳入部门预算管理。</w:t>
      </w:r>
      <w:r>
        <w:rPr>
          <w:rFonts w:ascii="Times New Roman" w:eastAsia="Times New Roman" w:hAnsi="Times New Roman" w:cs="Times New Roman"/>
          <w:sz w:val="32"/>
        </w:rPr>
        <w:t>2025</w:t>
      </w:r>
      <w:r>
        <w:rPr>
          <w:rFonts w:ascii="仿宋" w:eastAsia="仿宋" w:hAnsi="仿宋" w:cs="仿宋"/>
          <w:sz w:val="32"/>
        </w:rPr>
        <w:t>年,晋江市司法局部门收入预算为</w:t>
      </w:r>
      <w:r>
        <w:rPr>
          <w:rFonts w:ascii="Times New Roman" w:eastAsia="Times New Roman" w:hAnsi="Times New Roman" w:cs="Times New Roman"/>
          <w:sz w:val="32"/>
        </w:rPr>
        <w:t>4204.43</w:t>
      </w:r>
      <w:r>
        <w:rPr>
          <w:rFonts w:ascii="仿宋" w:eastAsia="仿宋" w:hAnsi="仿宋" w:cs="仿宋"/>
          <w:sz w:val="32"/>
        </w:rPr>
        <w:t>万元，比上年增加</w:t>
      </w:r>
      <w:r>
        <w:rPr>
          <w:rFonts w:ascii="Times New Roman" w:eastAsia="Times New Roman" w:hAnsi="Times New Roman" w:cs="Times New Roman"/>
          <w:sz w:val="32"/>
        </w:rPr>
        <w:t>84.04</w:t>
      </w:r>
      <w:r>
        <w:rPr>
          <w:rFonts w:ascii="仿宋" w:eastAsia="仿宋" w:hAnsi="仿宋" w:cs="仿宋"/>
          <w:sz w:val="32"/>
        </w:rPr>
        <w:t>万元，主要原因是一站式矛调”大厅建设经费收入安排增加。其中：一般公共预算拨款收入</w:t>
      </w:r>
      <w:r>
        <w:rPr>
          <w:rFonts w:ascii="Times New Roman" w:eastAsia="Times New Roman" w:hAnsi="Times New Roman" w:cs="Times New Roman"/>
          <w:sz w:val="32"/>
        </w:rPr>
        <w:t>4142.43</w:t>
      </w:r>
      <w:r>
        <w:rPr>
          <w:rFonts w:ascii="仿宋" w:eastAsia="仿宋" w:hAnsi="仿宋" w:cs="仿宋"/>
          <w:sz w:val="32"/>
        </w:rPr>
        <w:t>万元、政府性基金预算财政拨款收入</w:t>
      </w:r>
      <w:r>
        <w:rPr>
          <w:rFonts w:ascii="Times New Roman" w:eastAsia="Times New Roman" w:hAnsi="Times New Roman" w:cs="Times New Roman"/>
          <w:sz w:val="32"/>
        </w:rPr>
        <w:t>0.00</w:t>
      </w:r>
      <w:r>
        <w:rPr>
          <w:rFonts w:ascii="仿宋" w:eastAsia="仿宋" w:hAnsi="仿宋" w:cs="仿宋"/>
          <w:sz w:val="32"/>
        </w:rPr>
        <w:t>万元、国有资本经营预算拨款收入</w:t>
      </w:r>
      <w:r>
        <w:rPr>
          <w:rFonts w:ascii="Times New Roman" w:eastAsia="Times New Roman" w:hAnsi="Times New Roman" w:cs="Times New Roman"/>
          <w:sz w:val="32"/>
        </w:rPr>
        <w:t>0.00</w:t>
      </w:r>
      <w:r>
        <w:rPr>
          <w:rFonts w:ascii="仿宋" w:eastAsia="仿宋" w:hAnsi="仿宋" w:cs="仿宋"/>
          <w:sz w:val="32"/>
        </w:rPr>
        <w:t xml:space="preserve">万元、财政专户管理资金收入 </w:t>
      </w:r>
      <w:r>
        <w:rPr>
          <w:rFonts w:ascii="Times New Roman" w:eastAsia="Times New Roman" w:hAnsi="Times New Roman" w:cs="Times New Roman"/>
          <w:sz w:val="32"/>
        </w:rPr>
        <w:t>0.00</w:t>
      </w:r>
      <w:r>
        <w:rPr>
          <w:rFonts w:ascii="仿宋" w:eastAsia="仿宋" w:hAnsi="仿宋" w:cs="仿宋"/>
          <w:sz w:val="32"/>
        </w:rPr>
        <w:t xml:space="preserve"> 万元、事业收入</w:t>
      </w:r>
      <w:r>
        <w:rPr>
          <w:rFonts w:ascii="Times New Roman" w:eastAsia="Times New Roman" w:hAnsi="Times New Roman" w:cs="Times New Roman"/>
          <w:sz w:val="32"/>
        </w:rPr>
        <w:t>0.00</w:t>
      </w:r>
      <w:r>
        <w:rPr>
          <w:rFonts w:ascii="仿宋" w:eastAsia="仿宋" w:hAnsi="仿宋" w:cs="仿宋"/>
          <w:sz w:val="32"/>
        </w:rPr>
        <w:t>万元、事业单位经营收入</w:t>
      </w:r>
      <w:r>
        <w:rPr>
          <w:rFonts w:ascii="Times New Roman" w:eastAsia="Times New Roman" w:hAnsi="Times New Roman" w:cs="Times New Roman"/>
          <w:sz w:val="32"/>
        </w:rPr>
        <w:t>0.00</w:t>
      </w:r>
      <w:r>
        <w:rPr>
          <w:rFonts w:ascii="仿宋" w:eastAsia="仿宋" w:hAnsi="仿宋" w:cs="仿宋"/>
          <w:sz w:val="32"/>
        </w:rPr>
        <w:t>万元、上级补助收入</w:t>
      </w:r>
      <w:r>
        <w:rPr>
          <w:rFonts w:ascii="Times New Roman" w:eastAsia="Times New Roman" w:hAnsi="Times New Roman" w:cs="Times New Roman"/>
          <w:sz w:val="32"/>
        </w:rPr>
        <w:t>0.00</w:t>
      </w:r>
      <w:r>
        <w:rPr>
          <w:rFonts w:ascii="仿宋" w:eastAsia="仿宋" w:hAnsi="仿宋" w:cs="仿宋"/>
          <w:sz w:val="32"/>
        </w:rPr>
        <w:t>万元、附属单位上缴收入</w:t>
      </w:r>
      <w:r>
        <w:rPr>
          <w:rFonts w:ascii="Times New Roman" w:eastAsia="Times New Roman" w:hAnsi="Times New Roman" w:cs="Times New Roman"/>
          <w:sz w:val="32"/>
        </w:rPr>
        <w:t>0.00</w:t>
      </w:r>
      <w:r>
        <w:rPr>
          <w:rFonts w:ascii="仿宋" w:eastAsia="仿宋" w:hAnsi="仿宋" w:cs="仿宋"/>
          <w:sz w:val="32"/>
        </w:rPr>
        <w:t>万元、其他收入</w:t>
      </w:r>
      <w:r>
        <w:rPr>
          <w:rFonts w:ascii="Times New Roman" w:eastAsia="Times New Roman" w:hAnsi="Times New Roman" w:cs="Times New Roman"/>
          <w:sz w:val="32"/>
        </w:rPr>
        <w:t>62.00</w:t>
      </w:r>
      <w:r>
        <w:rPr>
          <w:rFonts w:ascii="仿宋" w:eastAsia="仿宋" w:hAnsi="仿宋" w:cs="仿宋"/>
          <w:sz w:val="32"/>
        </w:rPr>
        <w:t>万元、上年结转结余</w:t>
      </w:r>
      <w:r>
        <w:rPr>
          <w:rFonts w:ascii="Times New Roman" w:eastAsia="Times New Roman" w:hAnsi="Times New Roman" w:cs="Times New Roman"/>
          <w:sz w:val="32"/>
        </w:rPr>
        <w:t>0.00</w:t>
      </w:r>
      <w:r>
        <w:rPr>
          <w:rFonts w:ascii="仿宋" w:eastAsia="仿宋" w:hAnsi="仿宋" w:cs="仿宋"/>
          <w:sz w:val="32"/>
        </w:rPr>
        <w:t>万元。</w:t>
      </w:r>
    </w:p>
    <w:p w:rsidR="0047245A" w14:paraId="2138F2BB" w14:textId="77777777">
      <w:pPr>
        <w:tabs>
          <w:tab w:val="left" w:pos="7513"/>
        </w:tabs>
        <w:adjustRightInd w:val="0"/>
        <w:snapToGrid w:val="0"/>
        <w:spacing w:line="600" w:lineRule="exact"/>
        <w:ind w:firstLine="640" w:firstLineChars="200"/>
        <w:rPr>
          <w:rFonts w:ascii="仿宋" w:eastAsia="仿宋" w:hAnsi="仿宋" w:hint="eastAsia"/>
          <w:sz w:val="32"/>
          <w:szCs w:val="32"/>
        </w:rPr>
      </w:pPr>
      <w:r>
        <w:rPr>
          <w:rFonts w:ascii="仿宋" w:eastAsia="仿宋" w:hAnsi="仿宋" w:cs="仿宋"/>
          <w:sz w:val="32"/>
        </w:rPr>
        <w:t>相应安排支出预算</w:t>
      </w:r>
      <w:r>
        <w:rPr>
          <w:rFonts w:ascii="Times New Roman" w:eastAsia="Times New Roman" w:hAnsi="Times New Roman" w:cs="Times New Roman"/>
          <w:sz w:val="32"/>
        </w:rPr>
        <w:t>4204.43</w:t>
      </w:r>
      <w:r>
        <w:rPr>
          <w:rFonts w:ascii="仿宋" w:eastAsia="仿宋" w:hAnsi="仿宋" w:cs="仿宋"/>
          <w:sz w:val="32"/>
        </w:rPr>
        <w:t>万元，比上年增加</w:t>
      </w:r>
      <w:r>
        <w:rPr>
          <w:rFonts w:ascii="Times New Roman" w:eastAsia="Times New Roman" w:hAnsi="Times New Roman" w:cs="Times New Roman"/>
          <w:sz w:val="32"/>
        </w:rPr>
        <w:t>84.04</w:t>
      </w:r>
      <w:r>
        <w:rPr>
          <w:rFonts w:ascii="仿宋" w:eastAsia="仿宋" w:hAnsi="仿宋" w:cs="仿宋"/>
          <w:sz w:val="32"/>
        </w:rPr>
        <w:t>万元，主要原因是“一站式矛调”大厅建设经费支出安排增加。其中：基本支出</w:t>
      </w:r>
      <w:r>
        <w:rPr>
          <w:rFonts w:ascii="Times New Roman" w:eastAsia="Times New Roman" w:hAnsi="Times New Roman" w:cs="Times New Roman"/>
          <w:sz w:val="32"/>
        </w:rPr>
        <w:t>2648.43</w:t>
      </w:r>
      <w:r>
        <w:rPr>
          <w:rFonts w:ascii="仿宋" w:eastAsia="仿宋" w:hAnsi="仿宋" w:cs="仿宋"/>
          <w:sz w:val="32"/>
        </w:rPr>
        <w:t>万元、项目支出</w:t>
      </w:r>
      <w:r>
        <w:rPr>
          <w:rFonts w:ascii="Times New Roman" w:eastAsia="Times New Roman" w:hAnsi="Times New Roman" w:cs="Times New Roman"/>
          <w:sz w:val="32"/>
        </w:rPr>
        <w:t>1556.00</w:t>
      </w:r>
      <w:r>
        <w:rPr>
          <w:rFonts w:ascii="仿宋" w:eastAsia="仿宋" w:hAnsi="仿宋" w:cs="仿宋"/>
          <w:sz w:val="32"/>
        </w:rPr>
        <w:t>万元、事业单位经营支出</w:t>
      </w:r>
      <w:r>
        <w:rPr>
          <w:rFonts w:ascii="Times New Roman" w:eastAsia="Times New Roman" w:hAnsi="Times New Roman" w:cs="Times New Roman"/>
          <w:sz w:val="32"/>
        </w:rPr>
        <w:t>0.00</w:t>
      </w:r>
      <w:r>
        <w:rPr>
          <w:rFonts w:ascii="仿宋" w:eastAsia="仿宋" w:hAnsi="仿宋" w:cs="仿宋"/>
          <w:sz w:val="32"/>
        </w:rPr>
        <w:t>万元、上缴上级支出</w:t>
      </w:r>
      <w:r>
        <w:rPr>
          <w:rFonts w:ascii="Times New Roman" w:eastAsia="Times New Roman" w:hAnsi="Times New Roman" w:cs="Times New Roman"/>
          <w:sz w:val="32"/>
        </w:rPr>
        <w:t>0.00</w:t>
      </w:r>
      <w:r>
        <w:rPr>
          <w:rFonts w:ascii="仿宋" w:eastAsia="仿宋" w:hAnsi="仿宋" w:cs="仿宋"/>
          <w:sz w:val="32"/>
        </w:rPr>
        <w:t>万元、对附属单位补助支出</w:t>
      </w:r>
      <w:r>
        <w:rPr>
          <w:rFonts w:ascii="Times New Roman" w:eastAsia="Times New Roman" w:hAnsi="Times New Roman" w:cs="Times New Roman"/>
          <w:sz w:val="32"/>
        </w:rPr>
        <w:t>0.00</w:t>
      </w:r>
      <w:r>
        <w:rPr>
          <w:rFonts w:ascii="仿宋" w:eastAsia="仿宋" w:hAnsi="仿宋" w:cs="仿宋"/>
          <w:sz w:val="32"/>
        </w:rPr>
        <w:t>万元。</w:t>
      </w:r>
    </w:p>
    <w:p w:rsidR="0047245A" w:rsidP="001D091C" w14:paraId="20C4B2C6" w14:textId="77777777">
      <w:pPr>
        <w:pStyle w:val="Heading1"/>
        <w:spacing w:before="0" w:after="0"/>
      </w:pPr>
      <w:bookmarkStart w:id="17" w:name="_Toc27039"/>
      <w:r>
        <w:rPr>
          <w:rFonts w:hint="eastAsia"/>
        </w:rPr>
        <w:t>二、一般公共预算拨款支出情况</w:t>
      </w:r>
      <w:bookmarkEnd w:id="17"/>
    </w:p>
    <w:p w:rsidR="0047245A" w14:paraId="350B0A4E"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年度一般公共预算拨款支出</w:t>
      </w:r>
      <w:r>
        <w:rPr>
          <w:rFonts w:ascii="Times New Roman" w:eastAsia="Times New Roman" w:hAnsi="Times New Roman" w:cs="Times New Roman"/>
          <w:sz w:val="32"/>
        </w:rPr>
        <w:t>4142.43</w:t>
      </w:r>
      <w:r>
        <w:rPr>
          <w:rFonts w:ascii="仿宋" w:eastAsia="仿宋" w:hAnsi="仿宋" w:cs="仿宋"/>
          <w:sz w:val="32"/>
        </w:rPr>
        <w:t>万元，比上年增加</w:t>
      </w:r>
      <w:r>
        <w:rPr>
          <w:rFonts w:ascii="Times New Roman" w:eastAsia="Times New Roman" w:hAnsi="Times New Roman" w:cs="Times New Roman"/>
          <w:sz w:val="32"/>
        </w:rPr>
        <w:t>285.04</w:t>
      </w:r>
      <w:r>
        <w:rPr>
          <w:rFonts w:ascii="仿宋" w:eastAsia="仿宋" w:hAnsi="仿宋" w:cs="仿宋"/>
          <w:sz w:val="32"/>
        </w:rPr>
        <w:t>万元，增长</w:t>
      </w:r>
      <w:r>
        <w:rPr>
          <w:rFonts w:ascii="Times New Roman" w:eastAsia="Times New Roman" w:hAnsi="Times New Roman" w:cs="Times New Roman"/>
          <w:sz w:val="32"/>
        </w:rPr>
        <w:t>7.39</w:t>
      </w:r>
      <w:r>
        <w:rPr>
          <w:rFonts w:ascii="仿宋" w:eastAsia="仿宋" w:hAnsi="仿宋" w:cs="仿宋"/>
          <w:sz w:val="32"/>
        </w:rPr>
        <w:t>%，主要原因是：“一站式矛调”大厅建设经费支出安排增加。按照党中央、国务院和省委、省政府关于过紧日子的有关要求，厉行节约办一切事业，大力压减一般性支出，重点压减了公用经费和培训等项目支出中涉及的非急需非刚性支出，同时合理保障了普法宣传、律师管理、公共法律服务、社区矫正、法治建设等工作的支出需求，体现在有关支出科目中。其中（按项级科目分类统计）：</w:t>
      </w:r>
      <w:r>
        <w:rPr>
          <w:sz w:val="32"/>
        </w:rPr>
        <w:cr/>
      </w:r>
      <w:r>
        <w:rPr>
          <w:rFonts w:ascii="仿宋" w:eastAsia="仿宋" w:hAnsi="仿宋" w:cs="仿宋"/>
          <w:sz w:val="32"/>
        </w:rPr>
        <w:t xml:space="preserve">   （一）</w:t>
      </w:r>
      <w:r>
        <w:rPr>
          <w:rFonts w:ascii="Times New Roman" w:eastAsia="Times New Roman" w:hAnsi="Times New Roman" w:cs="Times New Roman"/>
          <w:sz w:val="32"/>
        </w:rPr>
        <w:t>2040601</w:t>
      </w:r>
      <w:r>
        <w:rPr>
          <w:rFonts w:ascii="仿宋" w:eastAsia="仿宋" w:hAnsi="仿宋" w:cs="仿宋"/>
          <w:sz w:val="32"/>
        </w:rPr>
        <w:t>-行政运行</w:t>
      </w:r>
      <w:r>
        <w:rPr>
          <w:rFonts w:ascii="Times New Roman" w:eastAsia="Times New Roman" w:hAnsi="Times New Roman" w:cs="Times New Roman"/>
          <w:sz w:val="32"/>
        </w:rPr>
        <w:t>1742.06</w:t>
      </w:r>
      <w:r>
        <w:rPr>
          <w:rFonts w:ascii="仿宋" w:eastAsia="仿宋" w:hAnsi="仿宋" w:cs="仿宋"/>
          <w:sz w:val="32"/>
        </w:rPr>
        <w:t>万元。主要用于行政人员工资福利及公用经费支出。</w:t>
      </w:r>
      <w:r>
        <w:rPr>
          <w:sz w:val="32"/>
        </w:rPr>
        <w:cr/>
      </w:r>
      <w:r>
        <w:rPr>
          <w:rFonts w:ascii="仿宋" w:eastAsia="仿宋" w:hAnsi="仿宋" w:cs="仿宋"/>
          <w:sz w:val="32"/>
        </w:rPr>
        <w:t xml:space="preserve">   （二）</w:t>
      </w:r>
      <w:r>
        <w:rPr>
          <w:rFonts w:ascii="Times New Roman" w:eastAsia="Times New Roman" w:hAnsi="Times New Roman" w:cs="Times New Roman"/>
          <w:sz w:val="32"/>
        </w:rPr>
        <w:t>2040602</w:t>
      </w:r>
      <w:r>
        <w:rPr>
          <w:rFonts w:ascii="仿宋" w:eastAsia="仿宋" w:hAnsi="仿宋" w:cs="仿宋"/>
          <w:sz w:val="32"/>
        </w:rPr>
        <w:t>-一般行政管理事务</w:t>
      </w:r>
      <w:r>
        <w:rPr>
          <w:rFonts w:ascii="Times New Roman" w:eastAsia="Times New Roman" w:hAnsi="Times New Roman" w:cs="Times New Roman"/>
          <w:sz w:val="32"/>
        </w:rPr>
        <w:t>330.00</w:t>
      </w:r>
      <w:r>
        <w:rPr>
          <w:rFonts w:ascii="仿宋" w:eastAsia="仿宋" w:hAnsi="仿宋" w:cs="仿宋"/>
          <w:sz w:val="32"/>
        </w:rPr>
        <w:t>万元。主要用于“一站式矛调”大厅建设经费支出。</w:t>
      </w:r>
      <w:r>
        <w:rPr>
          <w:sz w:val="32"/>
        </w:rPr>
        <w:cr/>
      </w:r>
      <w:r>
        <w:rPr>
          <w:rFonts w:ascii="仿宋" w:eastAsia="仿宋" w:hAnsi="仿宋" w:cs="仿宋"/>
          <w:sz w:val="32"/>
        </w:rPr>
        <w:t xml:space="preserve">   （三）</w:t>
      </w:r>
      <w:r>
        <w:rPr>
          <w:rFonts w:ascii="Times New Roman" w:eastAsia="Times New Roman" w:hAnsi="Times New Roman" w:cs="Times New Roman"/>
          <w:sz w:val="32"/>
        </w:rPr>
        <w:t>2040604</w:t>
      </w:r>
      <w:r>
        <w:rPr>
          <w:rFonts w:ascii="仿宋" w:eastAsia="仿宋" w:hAnsi="仿宋" w:cs="仿宋"/>
          <w:sz w:val="32"/>
        </w:rPr>
        <w:t>-基层司法业务</w:t>
      </w:r>
      <w:r>
        <w:rPr>
          <w:rFonts w:ascii="Times New Roman" w:eastAsia="Times New Roman" w:hAnsi="Times New Roman" w:cs="Times New Roman"/>
          <w:sz w:val="32"/>
        </w:rPr>
        <w:t>120.00</w:t>
      </w:r>
      <w:r>
        <w:rPr>
          <w:rFonts w:ascii="仿宋" w:eastAsia="仿宋" w:hAnsi="仿宋" w:cs="仿宋"/>
          <w:sz w:val="32"/>
        </w:rPr>
        <w:t>万元。主要用于人民调解及安置帮教工作经费支出。</w:t>
      </w:r>
      <w:r>
        <w:rPr>
          <w:sz w:val="32"/>
        </w:rPr>
        <w:cr/>
      </w:r>
      <w:r>
        <w:rPr>
          <w:rFonts w:ascii="仿宋" w:eastAsia="仿宋" w:hAnsi="仿宋" w:cs="仿宋"/>
          <w:sz w:val="32"/>
        </w:rPr>
        <w:t xml:space="preserve">   （四）</w:t>
      </w:r>
      <w:r>
        <w:rPr>
          <w:rFonts w:ascii="Times New Roman" w:eastAsia="Times New Roman" w:hAnsi="Times New Roman" w:cs="Times New Roman"/>
          <w:sz w:val="32"/>
        </w:rPr>
        <w:t>2040605</w:t>
      </w:r>
      <w:r>
        <w:rPr>
          <w:rFonts w:ascii="仿宋" w:eastAsia="仿宋" w:hAnsi="仿宋" w:cs="仿宋"/>
          <w:sz w:val="32"/>
        </w:rPr>
        <w:t>-普法宣传</w:t>
      </w:r>
      <w:r>
        <w:rPr>
          <w:rFonts w:ascii="Times New Roman" w:eastAsia="Times New Roman" w:hAnsi="Times New Roman" w:cs="Times New Roman"/>
          <w:sz w:val="32"/>
        </w:rPr>
        <w:t>309.00</w:t>
      </w:r>
      <w:r>
        <w:rPr>
          <w:rFonts w:ascii="仿宋" w:eastAsia="仿宋" w:hAnsi="仿宋" w:cs="仿宋"/>
          <w:sz w:val="32"/>
        </w:rPr>
        <w:t>万元。主要用于普法宣传经费支出。</w:t>
      </w:r>
      <w:r>
        <w:rPr>
          <w:sz w:val="32"/>
        </w:rPr>
        <w:cr/>
      </w:r>
      <w:r>
        <w:rPr>
          <w:rFonts w:ascii="仿宋" w:eastAsia="仿宋" w:hAnsi="仿宋" w:cs="仿宋"/>
          <w:sz w:val="32"/>
        </w:rPr>
        <w:t xml:space="preserve">   （五）</w:t>
      </w:r>
      <w:r>
        <w:rPr>
          <w:rFonts w:ascii="Times New Roman" w:eastAsia="Times New Roman" w:hAnsi="Times New Roman" w:cs="Times New Roman"/>
          <w:sz w:val="32"/>
        </w:rPr>
        <w:t>2040606</w:t>
      </w:r>
      <w:r>
        <w:rPr>
          <w:rFonts w:ascii="仿宋" w:eastAsia="仿宋" w:hAnsi="仿宋" w:cs="仿宋"/>
          <w:sz w:val="32"/>
        </w:rPr>
        <w:t>-律师管理</w:t>
      </w:r>
      <w:r>
        <w:rPr>
          <w:rFonts w:ascii="Times New Roman" w:eastAsia="Times New Roman" w:hAnsi="Times New Roman" w:cs="Times New Roman"/>
          <w:sz w:val="32"/>
        </w:rPr>
        <w:t>173.50</w:t>
      </w:r>
      <w:r>
        <w:rPr>
          <w:rFonts w:ascii="仿宋" w:eastAsia="仿宋" w:hAnsi="仿宋" w:cs="仿宋"/>
          <w:sz w:val="32"/>
        </w:rPr>
        <w:t>万元。主要用于一村（社区）一法律顾问专项经费支出。</w:t>
      </w:r>
      <w:r>
        <w:rPr>
          <w:sz w:val="32"/>
        </w:rPr>
        <w:cr/>
      </w:r>
      <w:r>
        <w:rPr>
          <w:rFonts w:ascii="仿宋" w:eastAsia="仿宋" w:hAnsi="仿宋" w:cs="仿宋"/>
          <w:sz w:val="32"/>
        </w:rPr>
        <w:t xml:space="preserve">   （六）</w:t>
      </w:r>
      <w:r>
        <w:rPr>
          <w:rFonts w:ascii="Times New Roman" w:eastAsia="Times New Roman" w:hAnsi="Times New Roman" w:cs="Times New Roman"/>
          <w:sz w:val="32"/>
        </w:rPr>
        <w:t>2040607</w:t>
      </w:r>
      <w:r>
        <w:rPr>
          <w:rFonts w:ascii="仿宋" w:eastAsia="仿宋" w:hAnsi="仿宋" w:cs="仿宋"/>
          <w:sz w:val="32"/>
        </w:rPr>
        <w:t>-公共法律服务</w:t>
      </w:r>
      <w:r>
        <w:rPr>
          <w:rFonts w:ascii="Times New Roman" w:eastAsia="Times New Roman" w:hAnsi="Times New Roman" w:cs="Times New Roman"/>
          <w:sz w:val="32"/>
        </w:rPr>
        <w:t>145.00</w:t>
      </w:r>
      <w:r>
        <w:rPr>
          <w:rFonts w:ascii="仿宋" w:eastAsia="仿宋" w:hAnsi="仿宋" w:cs="仿宋"/>
          <w:sz w:val="32"/>
        </w:rPr>
        <w:t>万元。主要用于法律援助办案补贴经费支出。</w:t>
      </w:r>
      <w:r>
        <w:rPr>
          <w:sz w:val="32"/>
        </w:rPr>
        <w:cr/>
      </w:r>
      <w:r>
        <w:rPr>
          <w:rFonts w:ascii="仿宋" w:eastAsia="仿宋" w:hAnsi="仿宋" w:cs="仿宋"/>
          <w:sz w:val="32"/>
        </w:rPr>
        <w:t xml:space="preserve">   （七）</w:t>
      </w:r>
      <w:r>
        <w:rPr>
          <w:rFonts w:ascii="Times New Roman" w:eastAsia="Times New Roman" w:hAnsi="Times New Roman" w:cs="Times New Roman"/>
          <w:sz w:val="32"/>
        </w:rPr>
        <w:t>2040610</w:t>
      </w:r>
      <w:r>
        <w:rPr>
          <w:rFonts w:ascii="仿宋" w:eastAsia="仿宋" w:hAnsi="仿宋" w:cs="仿宋"/>
          <w:sz w:val="32"/>
        </w:rPr>
        <w:t>-社区矫正</w:t>
      </w:r>
      <w:r>
        <w:rPr>
          <w:rFonts w:ascii="Times New Roman" w:eastAsia="Times New Roman" w:hAnsi="Times New Roman" w:cs="Times New Roman"/>
          <w:sz w:val="32"/>
        </w:rPr>
        <w:t>349.00</w:t>
      </w:r>
      <w:r>
        <w:rPr>
          <w:rFonts w:ascii="仿宋" w:eastAsia="仿宋" w:hAnsi="仿宋" w:cs="仿宋"/>
          <w:sz w:val="32"/>
        </w:rPr>
        <w:t>万元。主要用于社区矫正工作经费、办公用房租赁费及标准化和智能化建设经费支出。</w:t>
      </w:r>
      <w:r>
        <w:rPr>
          <w:sz w:val="32"/>
        </w:rPr>
        <w:cr/>
      </w:r>
      <w:r>
        <w:rPr>
          <w:rFonts w:ascii="仿宋" w:eastAsia="仿宋" w:hAnsi="仿宋" w:cs="仿宋"/>
          <w:sz w:val="32"/>
        </w:rPr>
        <w:t xml:space="preserve">   （八）</w:t>
      </w:r>
      <w:r>
        <w:rPr>
          <w:rFonts w:ascii="Times New Roman" w:eastAsia="Times New Roman" w:hAnsi="Times New Roman" w:cs="Times New Roman"/>
          <w:sz w:val="32"/>
        </w:rPr>
        <w:t>2040612</w:t>
      </w:r>
      <w:r>
        <w:rPr>
          <w:rFonts w:ascii="仿宋" w:eastAsia="仿宋" w:hAnsi="仿宋" w:cs="仿宋"/>
          <w:sz w:val="32"/>
        </w:rPr>
        <w:t>-法治建设</w:t>
      </w:r>
      <w:r>
        <w:rPr>
          <w:rFonts w:ascii="Times New Roman" w:eastAsia="Times New Roman" w:hAnsi="Times New Roman" w:cs="Times New Roman"/>
          <w:sz w:val="32"/>
        </w:rPr>
        <w:t>67.50</w:t>
      </w:r>
      <w:r>
        <w:rPr>
          <w:rFonts w:ascii="仿宋" w:eastAsia="仿宋" w:hAnsi="仿宋" w:cs="仿宋"/>
          <w:sz w:val="32"/>
        </w:rPr>
        <w:t>万元。主要用于行政复议和行政诉讼办案经费、依法治市办经费支出。</w:t>
      </w:r>
      <w:r>
        <w:rPr>
          <w:sz w:val="32"/>
        </w:rPr>
        <w:cr/>
      </w:r>
      <w:r>
        <w:rPr>
          <w:rFonts w:ascii="仿宋" w:eastAsia="仿宋" w:hAnsi="仿宋" w:cs="仿宋"/>
          <w:sz w:val="32"/>
        </w:rPr>
        <w:t xml:space="preserve">   （九）</w:t>
      </w:r>
      <w:r>
        <w:rPr>
          <w:rFonts w:ascii="Times New Roman" w:eastAsia="Times New Roman" w:hAnsi="Times New Roman" w:cs="Times New Roman"/>
          <w:sz w:val="32"/>
        </w:rPr>
        <w:t>2040650</w:t>
      </w:r>
      <w:r>
        <w:rPr>
          <w:rFonts w:ascii="仿宋" w:eastAsia="仿宋" w:hAnsi="仿宋" w:cs="仿宋"/>
          <w:sz w:val="32"/>
        </w:rPr>
        <w:t>-事业运行</w:t>
      </w:r>
      <w:r>
        <w:rPr>
          <w:rFonts w:ascii="Times New Roman" w:eastAsia="Times New Roman" w:hAnsi="Times New Roman" w:cs="Times New Roman"/>
          <w:sz w:val="32"/>
        </w:rPr>
        <w:t>204.48</w:t>
      </w:r>
      <w:r>
        <w:rPr>
          <w:rFonts w:ascii="仿宋" w:eastAsia="仿宋" w:hAnsi="仿宋" w:cs="仿宋"/>
          <w:sz w:val="32"/>
        </w:rPr>
        <w:t>万元。主要用于事业人员工资福利及公用经费支出。</w:t>
      </w:r>
      <w:r>
        <w:rPr>
          <w:sz w:val="32"/>
        </w:rPr>
        <w:cr/>
      </w:r>
      <w:r>
        <w:rPr>
          <w:rFonts w:ascii="仿宋" w:eastAsia="仿宋" w:hAnsi="仿宋" w:cs="仿宋"/>
          <w:sz w:val="32"/>
        </w:rPr>
        <w:t xml:space="preserve">   （十）</w:t>
      </w:r>
      <w:r>
        <w:rPr>
          <w:rFonts w:ascii="Times New Roman" w:eastAsia="Times New Roman" w:hAnsi="Times New Roman" w:cs="Times New Roman"/>
          <w:sz w:val="32"/>
        </w:rPr>
        <w:t>2080505</w:t>
      </w:r>
      <w:r>
        <w:rPr>
          <w:rFonts w:ascii="仿宋" w:eastAsia="仿宋" w:hAnsi="仿宋" w:cs="仿宋"/>
          <w:sz w:val="32"/>
        </w:rPr>
        <w:t>-机关事业单位基本养老保险缴费支出</w:t>
      </w:r>
      <w:r>
        <w:rPr>
          <w:rFonts w:ascii="Times New Roman" w:eastAsia="Times New Roman" w:hAnsi="Times New Roman" w:cs="Times New Roman"/>
          <w:sz w:val="32"/>
        </w:rPr>
        <w:t>227.62</w:t>
      </w:r>
      <w:r>
        <w:rPr>
          <w:rFonts w:ascii="仿宋" w:eastAsia="仿宋" w:hAnsi="仿宋" w:cs="仿宋"/>
          <w:sz w:val="32"/>
        </w:rPr>
        <w:t>万元。主要用于缴交机关事业单位养老保险支出。</w:t>
      </w:r>
      <w:r>
        <w:rPr>
          <w:sz w:val="32"/>
        </w:rPr>
        <w:cr/>
      </w:r>
      <w:r>
        <w:rPr>
          <w:rFonts w:ascii="仿宋" w:eastAsia="仿宋" w:hAnsi="仿宋" w:cs="仿宋"/>
          <w:sz w:val="32"/>
        </w:rPr>
        <w:t xml:space="preserve">   （十一）</w:t>
      </w:r>
      <w:r>
        <w:rPr>
          <w:rFonts w:ascii="Times New Roman" w:eastAsia="Times New Roman" w:hAnsi="Times New Roman" w:cs="Times New Roman"/>
          <w:sz w:val="32"/>
        </w:rPr>
        <w:t>2080506</w:t>
      </w:r>
      <w:r>
        <w:rPr>
          <w:rFonts w:ascii="仿宋" w:eastAsia="仿宋" w:hAnsi="仿宋" w:cs="仿宋"/>
          <w:sz w:val="32"/>
        </w:rPr>
        <w:t>-机关事业单位职业年金缴费支出</w:t>
      </w:r>
      <w:r>
        <w:rPr>
          <w:rFonts w:ascii="Times New Roman" w:eastAsia="Times New Roman" w:hAnsi="Times New Roman" w:cs="Times New Roman"/>
          <w:sz w:val="32"/>
        </w:rPr>
        <w:t>113.80</w:t>
      </w:r>
      <w:r>
        <w:rPr>
          <w:rFonts w:ascii="仿宋" w:eastAsia="仿宋" w:hAnsi="仿宋" w:cs="仿宋"/>
          <w:sz w:val="32"/>
        </w:rPr>
        <w:t>万元。主要用于缴交机关事业单位职业年金支出。</w:t>
      </w:r>
      <w:r>
        <w:rPr>
          <w:sz w:val="32"/>
        </w:rPr>
        <w:cr/>
      </w:r>
      <w:r>
        <w:rPr>
          <w:rFonts w:ascii="仿宋" w:eastAsia="仿宋" w:hAnsi="仿宋" w:cs="仿宋"/>
          <w:sz w:val="32"/>
        </w:rPr>
        <w:t xml:space="preserve">   （十二）</w:t>
      </w:r>
      <w:r>
        <w:rPr>
          <w:rFonts w:ascii="Times New Roman" w:eastAsia="Times New Roman" w:hAnsi="Times New Roman" w:cs="Times New Roman"/>
          <w:sz w:val="32"/>
        </w:rPr>
        <w:t>2101101</w:t>
      </w:r>
      <w:r>
        <w:rPr>
          <w:rFonts w:ascii="仿宋" w:eastAsia="仿宋" w:hAnsi="仿宋" w:cs="仿宋"/>
          <w:sz w:val="32"/>
        </w:rPr>
        <w:t>-行政单位医疗</w:t>
      </w:r>
      <w:r>
        <w:rPr>
          <w:rFonts w:ascii="Times New Roman" w:eastAsia="Times New Roman" w:hAnsi="Times New Roman" w:cs="Times New Roman"/>
          <w:sz w:val="32"/>
        </w:rPr>
        <w:t>82.26</w:t>
      </w:r>
      <w:r>
        <w:rPr>
          <w:rFonts w:ascii="仿宋" w:eastAsia="仿宋" w:hAnsi="仿宋" w:cs="仿宋"/>
          <w:sz w:val="32"/>
        </w:rPr>
        <w:t>万元。主要用于缴交机关单位医疗保险、生育保险、工伤保险支出。</w:t>
      </w:r>
      <w:r>
        <w:rPr>
          <w:sz w:val="32"/>
        </w:rPr>
        <w:cr/>
      </w:r>
      <w:r>
        <w:rPr>
          <w:rFonts w:ascii="仿宋" w:eastAsia="仿宋" w:hAnsi="仿宋" w:cs="仿宋"/>
          <w:sz w:val="32"/>
        </w:rPr>
        <w:t xml:space="preserve">   （十三）</w:t>
      </w:r>
      <w:r>
        <w:rPr>
          <w:rFonts w:ascii="Times New Roman" w:eastAsia="Times New Roman" w:hAnsi="Times New Roman" w:cs="Times New Roman"/>
          <w:sz w:val="32"/>
        </w:rPr>
        <w:t>2101102</w:t>
      </w:r>
      <w:r>
        <w:rPr>
          <w:rFonts w:ascii="仿宋" w:eastAsia="仿宋" w:hAnsi="仿宋" w:cs="仿宋"/>
          <w:sz w:val="32"/>
        </w:rPr>
        <w:t>-事业单位医疗</w:t>
      </w:r>
      <w:r>
        <w:rPr>
          <w:rFonts w:ascii="Times New Roman" w:eastAsia="Times New Roman" w:hAnsi="Times New Roman" w:cs="Times New Roman"/>
          <w:sz w:val="32"/>
        </w:rPr>
        <w:t>7.22</w:t>
      </w:r>
      <w:r>
        <w:rPr>
          <w:rFonts w:ascii="仿宋" w:eastAsia="仿宋" w:hAnsi="仿宋" w:cs="仿宋"/>
          <w:sz w:val="32"/>
        </w:rPr>
        <w:t>万元。主要用于缴交事业单位医疗保险、生育保险、工伤保险支出。</w:t>
      </w:r>
      <w:r>
        <w:rPr>
          <w:sz w:val="32"/>
        </w:rPr>
        <w:cr/>
      </w:r>
      <w:r>
        <w:rPr>
          <w:rFonts w:ascii="仿宋" w:eastAsia="仿宋" w:hAnsi="仿宋" w:cs="仿宋"/>
          <w:sz w:val="32"/>
        </w:rPr>
        <w:t xml:space="preserve">   （十四）</w:t>
      </w:r>
      <w:r>
        <w:rPr>
          <w:rFonts w:ascii="Times New Roman" w:eastAsia="Times New Roman" w:hAnsi="Times New Roman" w:cs="Times New Roman"/>
          <w:sz w:val="32"/>
        </w:rPr>
        <w:t>2101103</w:t>
      </w:r>
      <w:r>
        <w:rPr>
          <w:rFonts w:ascii="仿宋" w:eastAsia="仿宋" w:hAnsi="仿宋" w:cs="仿宋"/>
          <w:sz w:val="32"/>
        </w:rPr>
        <w:t>-公务员医疗补助</w:t>
      </w:r>
      <w:r>
        <w:rPr>
          <w:rFonts w:ascii="Times New Roman" w:eastAsia="Times New Roman" w:hAnsi="Times New Roman" w:cs="Times New Roman"/>
          <w:sz w:val="32"/>
        </w:rPr>
        <w:t>55.26</w:t>
      </w:r>
      <w:r>
        <w:rPr>
          <w:rFonts w:ascii="仿宋" w:eastAsia="仿宋" w:hAnsi="仿宋" w:cs="仿宋"/>
          <w:sz w:val="32"/>
        </w:rPr>
        <w:t>万元。主要用于缴交机关事业单位公务员医疗补助支出。</w:t>
      </w:r>
      <w:r>
        <w:rPr>
          <w:sz w:val="32"/>
        </w:rPr>
        <w:cr/>
      </w:r>
      <w:r>
        <w:rPr>
          <w:rFonts w:ascii="仿宋" w:eastAsia="仿宋" w:hAnsi="仿宋" w:cs="仿宋"/>
          <w:sz w:val="32"/>
        </w:rPr>
        <w:t xml:space="preserve">   （十五）</w:t>
      </w:r>
      <w:r>
        <w:rPr>
          <w:rFonts w:ascii="Times New Roman" w:eastAsia="Times New Roman" w:hAnsi="Times New Roman" w:cs="Times New Roman"/>
          <w:sz w:val="32"/>
        </w:rPr>
        <w:t>2210201</w:t>
      </w:r>
      <w:r>
        <w:rPr>
          <w:rFonts w:ascii="仿宋" w:eastAsia="仿宋" w:hAnsi="仿宋" w:cs="仿宋"/>
          <w:sz w:val="32"/>
        </w:rPr>
        <w:t>-住房公积金</w:t>
      </w:r>
      <w:r>
        <w:rPr>
          <w:rFonts w:ascii="Times New Roman" w:eastAsia="Times New Roman" w:hAnsi="Times New Roman" w:cs="Times New Roman"/>
          <w:sz w:val="32"/>
        </w:rPr>
        <w:t>212.47</w:t>
      </w:r>
      <w:r>
        <w:rPr>
          <w:rFonts w:ascii="仿宋" w:eastAsia="仿宋" w:hAnsi="仿宋" w:cs="仿宋"/>
          <w:sz w:val="32"/>
        </w:rPr>
        <w:t xml:space="preserve">万元。主要用于缴交机关事业单位住房公积金支出。 </w:t>
      </w:r>
    </w:p>
    <w:p w:rsidR="0047245A" w:rsidP="001D091C" w14:paraId="03972AE8" w14:textId="77777777">
      <w:pPr>
        <w:pStyle w:val="Heading1"/>
        <w:spacing w:before="0" w:after="0"/>
      </w:pPr>
      <w:bookmarkStart w:id="18" w:name="_Toc11149"/>
      <w:r>
        <w:rPr>
          <w:rFonts w:hint="eastAsia"/>
        </w:rPr>
        <w:t>三、政府性基金预算拨款支出情况</w:t>
      </w:r>
      <w:bookmarkEnd w:id="18"/>
    </w:p>
    <w:p w:rsidR="0047245A" w14:paraId="5955AE3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本部门</w:t>
      </w:r>
      <w:r>
        <w:rPr>
          <w:rFonts w:ascii="Times New Roman" w:eastAsia="Times New Roman" w:hAnsi="Times New Roman" w:cs="Times New Roman"/>
          <w:sz w:val="32"/>
        </w:rPr>
        <w:t>2025</w:t>
      </w:r>
      <w:r>
        <w:rPr>
          <w:rFonts w:ascii="仿宋" w:eastAsia="仿宋" w:hAnsi="仿宋" w:cs="仿宋"/>
          <w:sz w:val="32"/>
        </w:rPr>
        <w:t xml:space="preserve">年度没有使用政府性基金预算拨款安排的支出。 </w:t>
      </w:r>
    </w:p>
    <w:p w:rsidR="0047245A" w:rsidP="001D091C" w14:paraId="47096D11" w14:textId="77777777">
      <w:pPr>
        <w:pStyle w:val="Heading1"/>
        <w:spacing w:before="0" w:after="0"/>
      </w:pPr>
      <w:bookmarkStart w:id="19" w:name="_Toc8125"/>
      <w:r>
        <w:t>四、国有资本经营预算拨款支出情况</w:t>
      </w:r>
      <w:bookmarkEnd w:id="19"/>
    </w:p>
    <w:p w:rsidR="0047245A" w14:paraId="4FA9ED0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本部门</w:t>
      </w:r>
      <w:r>
        <w:rPr>
          <w:rFonts w:ascii="Times New Roman" w:eastAsia="Times New Roman" w:hAnsi="Times New Roman" w:cs="Times New Roman"/>
          <w:sz w:val="32"/>
        </w:rPr>
        <w:t>2025</w:t>
      </w:r>
      <w:r>
        <w:rPr>
          <w:rFonts w:ascii="仿宋" w:eastAsia="仿宋" w:hAnsi="仿宋" w:cs="仿宋"/>
          <w:sz w:val="32"/>
        </w:rPr>
        <w:t xml:space="preserve">年度没有使用国有资本经营预算拨款安排的支出。 </w:t>
      </w:r>
    </w:p>
    <w:p w:rsidR="0047245A" w:rsidP="001D091C" w14:paraId="44F72D2A" w14:textId="6724D06E">
      <w:pPr>
        <w:pStyle w:val="Heading1"/>
        <w:spacing w:before="0" w:after="0"/>
      </w:pPr>
      <w:bookmarkStart w:id="20" w:name="_Toc3310"/>
      <w:r>
        <w:rPr>
          <w:rFonts w:hint="eastAsia"/>
        </w:rPr>
        <w:t>五、一般公共预算</w:t>
      </w:r>
      <w:r w:rsidR="0038512C">
        <w:rPr>
          <w:rFonts w:hint="eastAsia"/>
        </w:rPr>
        <w:t>拨款</w:t>
      </w:r>
      <w:r>
        <w:rPr>
          <w:rFonts w:hint="eastAsia"/>
        </w:rPr>
        <w:t>基本支出情况</w:t>
      </w:r>
      <w:bookmarkEnd w:id="20"/>
    </w:p>
    <w:p w:rsidR="0047245A" w14:paraId="598C7541"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Times New Roman" w:eastAsia="Times New Roman" w:hAnsi="Times New Roman" w:cs="Times New Roman"/>
          <w:sz w:val="32"/>
        </w:rPr>
        <w:t>2025</w:t>
      </w:r>
      <w:r>
        <w:rPr>
          <w:rFonts w:ascii="仿宋" w:eastAsia="仿宋" w:hAnsi="仿宋" w:cs="仿宋"/>
          <w:sz w:val="32"/>
        </w:rPr>
        <w:t>年度一般公共预算拨款基本支出</w:t>
      </w:r>
      <w:r>
        <w:rPr>
          <w:rFonts w:ascii="Times New Roman" w:eastAsia="Times New Roman" w:hAnsi="Times New Roman" w:cs="Times New Roman"/>
          <w:sz w:val="32"/>
        </w:rPr>
        <w:t>2648.43</w:t>
      </w:r>
      <w:r>
        <w:rPr>
          <w:rFonts w:ascii="仿宋" w:eastAsia="仿宋" w:hAnsi="仿宋" w:cs="仿宋"/>
          <w:sz w:val="32"/>
        </w:rPr>
        <w:t>万元，其中：</w:t>
      </w:r>
    </w:p>
    <w:p w:rsidR="0047245A" w14:paraId="7C7B2603" w14:textId="77777777">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
          <w:sz w:val="32"/>
        </w:rPr>
        <w:t>（一）人员经费</w:t>
      </w:r>
      <w:r>
        <w:rPr>
          <w:rFonts w:ascii="Times New Roman" w:eastAsia="Times New Roman" w:hAnsi="Times New Roman" w:cs="Times New Roman"/>
          <w:sz w:val="32"/>
        </w:rPr>
        <w:t>2402.80</w:t>
      </w:r>
      <w:r>
        <w:rPr>
          <w:rFonts w:ascii="仿宋" w:eastAsia="仿宋" w:hAnsi="仿宋" w:cs="仿宋"/>
          <w:sz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rsidR="0047245A" w14:paraId="1B6E3468" w14:textId="77777777">
      <w:pPr>
        <w:tabs>
          <w:tab w:val="left" w:pos="7513"/>
        </w:tabs>
        <w:adjustRightInd w:val="0"/>
        <w:snapToGrid w:val="0"/>
        <w:spacing w:line="600" w:lineRule="exact"/>
        <w:ind w:firstLine="640" w:firstLineChars="200"/>
        <w:jc w:val="left"/>
        <w:rPr>
          <w:rFonts w:ascii="仿宋" w:eastAsia="仿宋" w:hAnsi="仿宋" w:cs="仿宋_GB2312" w:hint="eastAsia"/>
          <w:sz w:val="32"/>
          <w:szCs w:val="32"/>
        </w:rPr>
      </w:pPr>
      <w:r>
        <w:rPr>
          <w:rFonts w:ascii="仿宋" w:eastAsia="仿宋" w:hAnsi="仿宋" w:cs="仿宋"/>
          <w:sz w:val="32"/>
        </w:rPr>
        <w:t>（二）公用经费</w:t>
      </w:r>
      <w:r>
        <w:rPr>
          <w:rFonts w:ascii="Times New Roman" w:eastAsia="Times New Roman" w:hAnsi="Times New Roman" w:cs="Times New Roman"/>
          <w:sz w:val="32"/>
        </w:rPr>
        <w:t>245.63</w:t>
      </w:r>
      <w:r>
        <w:rPr>
          <w:rFonts w:ascii="仿宋" w:eastAsia="仿宋" w:hAnsi="仿宋" w:cs="仿宋"/>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47245A" w:rsidP="001D091C" w14:paraId="6DDD423C" w14:textId="77777777">
      <w:pPr>
        <w:pStyle w:val="Heading1"/>
        <w:spacing w:before="0" w:after="0"/>
      </w:pPr>
      <w:bookmarkStart w:id="21" w:name="_Toc16647"/>
      <w:r>
        <w:rPr>
          <w:rFonts w:hint="eastAsia"/>
        </w:rPr>
        <w:t>六、一般公共预算“三公”经费支出情况</w:t>
      </w:r>
      <w:bookmarkEnd w:id="21"/>
    </w:p>
    <w:p w:rsidR="0047245A" w14:paraId="5C42EA70"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（一）因公出国（境）经费</w:t>
      </w:r>
    </w:p>
    <w:p w:rsidR="0047245A" w14:paraId="0E28A13C" w14:textId="77777777">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%，与上年持平。主要原因是:本年没有出国出境经费预算安排。</w:t>
      </w:r>
    </w:p>
    <w:p w:rsidR="0047245A" w14:paraId="47BE2668"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（二）公务接待费</w:t>
      </w:r>
    </w:p>
    <w:p w:rsidR="0047245A" w14:paraId="64D432AE" w14:textId="77777777">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2.50</w:t>
      </w:r>
      <w:r>
        <w:rPr>
          <w:rFonts w:ascii="仿宋" w:eastAsia="仿宋" w:hAnsi="仿宋" w:cs="仿宋"/>
          <w:sz w:val="32"/>
        </w:rPr>
        <w:t>万元，比上年增加</w:t>
      </w:r>
      <w:r>
        <w:rPr>
          <w:rFonts w:ascii="Times New Roman" w:eastAsia="Times New Roman" w:hAnsi="Times New Roman" w:cs="Times New Roman"/>
          <w:sz w:val="32"/>
        </w:rPr>
        <w:t>0.80</w:t>
      </w:r>
      <w:r>
        <w:rPr>
          <w:rFonts w:ascii="仿宋" w:eastAsia="仿宋" w:hAnsi="仿宋" w:cs="仿宋"/>
          <w:sz w:val="32"/>
        </w:rPr>
        <w:t>万元，增长</w:t>
      </w:r>
      <w:r>
        <w:rPr>
          <w:rFonts w:ascii="Times New Roman" w:eastAsia="Times New Roman" w:hAnsi="Times New Roman" w:cs="Times New Roman"/>
          <w:sz w:val="32"/>
        </w:rPr>
        <w:t>47.06</w:t>
      </w:r>
      <w:r>
        <w:rPr>
          <w:rFonts w:ascii="仿宋" w:eastAsia="仿宋" w:hAnsi="仿宋" w:cs="仿宋"/>
          <w:sz w:val="32"/>
        </w:rPr>
        <w:t>%。主要原因是: 保障各级来晋调研接待，根据实际公务接待需要安排导致增加。</w:t>
      </w:r>
    </w:p>
    <w:p w:rsidR="0047245A" w14:paraId="3BA92151" w14:textId="77777777">
      <w:pPr>
        <w:widowControl/>
        <w:adjustRightInd w:val="0"/>
        <w:snapToGrid w:val="0"/>
        <w:spacing w:line="600" w:lineRule="exact"/>
        <w:ind w:firstLine="660"/>
        <w:rPr>
          <w:rFonts w:ascii="楷体" w:eastAsia="楷体" w:hAnsi="楷体" w:cs="宋体" w:hint="eastAsia"/>
          <w:b/>
          <w:bCs/>
          <w:kern w:val="0"/>
          <w:sz w:val="32"/>
          <w:szCs w:val="32"/>
        </w:rPr>
      </w:pPr>
      <w:r>
        <w:rPr>
          <w:rFonts w:ascii="楷体" w:eastAsia="楷体" w:hAnsi="楷体" w:cs="宋体" w:hint="eastAsia"/>
          <w:b/>
          <w:bCs/>
          <w:kern w:val="0"/>
          <w:sz w:val="32"/>
          <w:szCs w:val="32"/>
        </w:rPr>
        <w:t>（三）公务用车购置及运行费</w:t>
      </w:r>
    </w:p>
    <w:p w:rsidR="0047245A" w14:paraId="626FEDAD" w14:textId="16013BBD">
      <w:pPr>
        <w:widowControl/>
        <w:adjustRightInd w:val="0"/>
        <w:snapToGrid w:val="0"/>
        <w:spacing w:line="600" w:lineRule="exact"/>
        <w:ind w:firstLine="660"/>
        <w:jc w:val="left"/>
        <w:rPr>
          <w:rFonts w:ascii="仿宋" w:eastAsia="仿宋" w:hAnsi="仿宋" w:cs="仿宋_GB2312"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年预算安排</w:t>
      </w:r>
      <w:r>
        <w:rPr>
          <w:rFonts w:ascii="Times New Roman" w:eastAsia="Times New Roman" w:hAnsi="Times New Roman" w:cs="Times New Roman"/>
          <w:sz w:val="32"/>
        </w:rPr>
        <w:t>9.00</w:t>
      </w:r>
      <w:r>
        <w:rPr>
          <w:rFonts w:ascii="仿宋" w:eastAsia="仿宋" w:hAnsi="仿宋" w:cs="仿宋"/>
          <w:sz w:val="32"/>
        </w:rPr>
        <w:t>万元，其中：公务用车运行费</w:t>
      </w:r>
      <w:r>
        <w:rPr>
          <w:rFonts w:ascii="Times New Roman" w:eastAsia="Times New Roman" w:hAnsi="Times New Roman" w:cs="Times New Roman"/>
          <w:sz w:val="32"/>
        </w:rPr>
        <w:t>9.00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%，与上年持平；公务用车购置费</w:t>
      </w:r>
      <w:r>
        <w:rPr>
          <w:rFonts w:ascii="Times New Roman" w:eastAsia="Times New Roman" w:hAnsi="Times New Roman" w:cs="Times New Roman"/>
          <w:sz w:val="32"/>
        </w:rPr>
        <w:t>0.00</w:t>
      </w:r>
      <w:r>
        <w:rPr>
          <w:rFonts w:ascii="仿宋" w:eastAsia="仿宋" w:hAnsi="仿宋" w:cs="仿宋"/>
          <w:sz w:val="32"/>
        </w:rPr>
        <w:t>万元，比上年增加</w:t>
      </w:r>
      <w:r>
        <w:rPr>
          <w:rFonts w:ascii="Times New Roman" w:eastAsia="Times New Roman" w:hAnsi="Times New Roman" w:cs="Times New Roman"/>
          <w:sz w:val="32"/>
        </w:rPr>
        <w:t>0.00</w:t>
      </w:r>
      <w:r>
        <w:rPr>
          <w:rFonts w:ascii="仿宋" w:eastAsia="仿宋" w:hAnsi="仿宋" w:cs="仿宋"/>
          <w:sz w:val="32"/>
        </w:rPr>
        <w:t>万元，增长</w:t>
      </w:r>
      <w:r>
        <w:rPr>
          <w:rFonts w:ascii="Times New Roman" w:eastAsia="Times New Roman" w:hAnsi="Times New Roman" w:cs="Times New Roman"/>
          <w:sz w:val="32"/>
        </w:rPr>
        <w:t>0.00</w:t>
      </w:r>
      <w:r>
        <w:rPr>
          <w:rFonts w:ascii="仿宋" w:eastAsia="仿宋" w:hAnsi="仿宋" w:cs="仿宋"/>
          <w:sz w:val="32"/>
        </w:rPr>
        <w:t>%，与上年持平。主要原因是: 根据实际保留车辆运行维护费需要安排，与上年持平。</w:t>
      </w:r>
    </w:p>
    <w:p w:rsidR="0047245A" w:rsidP="001D091C" w14:paraId="7AFDEA19" w14:textId="77777777">
      <w:pPr>
        <w:pStyle w:val="Heading1"/>
        <w:spacing w:before="0" w:after="0"/>
      </w:pPr>
      <w:bookmarkStart w:id="22" w:name="_Toc26347"/>
      <w:r>
        <w:rPr>
          <w:rFonts w:hint="eastAsia"/>
        </w:rPr>
        <w:t>七、预算绩效目标情况</w:t>
      </w:r>
      <w:bookmarkEnd w:id="22"/>
    </w:p>
    <w:p w:rsidR="0047245A" w14:paraId="7A0AC2A1"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（一）绩效目标设置情况</w:t>
      </w:r>
    </w:p>
    <w:p w:rsidR="0047245A" w:rsidRPr="0021062D" w:rsidP="0021062D" w14:paraId="09D99CF1" w14:textId="2EA9241B">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 xml:space="preserve">年，晋江市司法局单位按照全面实施预算绩效管理的要求，编制绩效目标并公开。  </w:t>
      </w:r>
    </w:p>
    <w:p w:rsidR="0047245A" w14:paraId="7C66862A"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（二）绩效目标表及说明</w:t>
      </w:r>
    </w:p>
    <w:p w:rsidR="0047245A" w14:paraId="0435F771" w14:textId="77777777">
      <w:pPr>
        <w:spacing w:line="590" w:lineRule="exact"/>
        <w:ind w:firstLine="640" w:firstLineChars="200"/>
        <w:rPr>
          <w:rFonts w:ascii="仿宋" w:eastAsia="仿宋" w:hAnsi="仿宋" w:hint="eastAsia"/>
          <w:b/>
          <w:sz w:val="32"/>
          <w:szCs w:val="32"/>
        </w:rPr>
      </w:pPr>
      <w:r>
        <w:rPr>
          <w:rFonts w:ascii="Times New Roman" w:eastAsia="Times New Roman" w:hAnsi="Times New Roman" w:cs="Times New Roman"/>
          <w:sz w:val="32"/>
        </w:rPr>
        <w:t>1</w:t>
      </w:r>
      <w:r>
        <w:rPr>
          <w:rFonts w:ascii="仿宋" w:eastAsia="仿宋" w:hAnsi="仿宋" w:cs="仿宋"/>
          <w:sz w:val="32"/>
        </w:rPr>
        <w:t>.项目支出绩效目标表</w:t>
      </w:r>
    </w:p>
    <w:p>
      <w:pPr>
        <w:pageBreakBefore/>
        <w:jc w:val="center"/>
      </w:pPr>
      <w:r>
        <w:rPr>
          <w:rFonts w:ascii="方正小标宋简体" w:eastAsia="方正小标宋简体" w:hAnsi="方正小标宋简体" w:cs="方正小标宋简体"/>
          <w:sz w:val="36"/>
        </w:rPr>
        <w:t>社区矫正中心标准化和智能化建设经费项目绩效目标表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826"/>
        <w:gridCol w:w="2026"/>
        <w:gridCol w:w="3816"/>
        <w:gridCol w:w="678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项目立项情况</w:t>
            </w:r>
          </w:p>
        </w:tc>
        <w:tc>
          <w:tcPr>
            <w:tcW w:w="1500" w:type="dxa"/>
            <w:vMerge w:val="restart"/>
            <w:vAlign w:val="center"/>
          </w:tcPr>
          <w:p>
            <w:pPr>
              <w:spacing w:before="100" w:after="100"/>
              <w:jc w:val="left"/>
            </w:pPr>
            <w:r>
              <w:rPr>
                <w:rFonts w:ascii="宋体" w:eastAsia="宋体" w:hAnsi="宋体" w:cs="宋体"/>
                <w:sz w:val="20"/>
              </w:rPr>
              <w:t>项目立项的依据</w:t>
            </w:r>
          </w:p>
        </w:tc>
        <w:tc>
          <w:tcPr>
            <w:tcW w:w="1500" w:type="dxa"/>
            <w:gridSpan w:val="3"/>
            <w:vMerge w:val="restart"/>
            <w:vAlign w:val="center"/>
          </w:tcPr>
          <w:p>
            <w:pPr>
              <w:spacing w:before="100" w:after="100"/>
              <w:jc w:val="center"/>
            </w:pPr>
            <w:r>
              <w:rPr>
                <w:rFonts w:ascii="宋体" w:eastAsia="宋体" w:hAnsi="宋体" w:cs="宋体"/>
                <w:sz w:val="20"/>
              </w:rPr>
              <w:t>按照省司法厅、泉州市司法局关于开展社区矫正中心标准化和智能化建设三年行动工作的部署安排，开展市社区矫正中心标准化和智能化建设</w:t>
            </w:r>
          </w:p>
        </w:tc>
      </w:tr>
      <w:tr>
        <w:tblPrEx>
          <w:tblW w:w="8900" w:type="dxa"/>
        </w:tblPrEx>
        <w:tc>
          <w:tcPr>
            <w:tcW w:w="1500" w:type="dxa"/>
            <w:vMerge/>
          </w:tcPr>
          <w:p/>
        </w:tc>
        <w:tc>
          <w:tcPr>
            <w:tcW w:w="1500" w:type="dxa"/>
            <w:vMerge w:val="restart"/>
            <w:vAlign w:val="center"/>
          </w:tcPr>
          <w:p>
            <w:pPr>
              <w:spacing w:before="100" w:after="100"/>
              <w:jc w:val="left"/>
            </w:pPr>
            <w:r>
              <w:rPr>
                <w:rFonts w:ascii="宋体" w:eastAsia="宋体" w:hAnsi="宋体" w:cs="宋体"/>
                <w:sz w:val="20"/>
              </w:rPr>
              <w:t>项目申报的可行性</w:t>
            </w:r>
          </w:p>
        </w:tc>
        <w:tc>
          <w:tcPr>
            <w:tcW w:w="1500" w:type="dxa"/>
            <w:gridSpan w:val="3"/>
            <w:vMerge w:val="restart"/>
            <w:vAlign w:val="center"/>
          </w:tcPr>
          <w:p>
            <w:pPr>
              <w:spacing w:before="100" w:after="100"/>
              <w:jc w:val="center"/>
            </w:pPr>
            <w:r>
              <w:rPr>
                <w:rFonts w:ascii="宋体" w:eastAsia="宋体" w:hAnsi="宋体" w:cs="宋体"/>
                <w:sz w:val="20"/>
              </w:rPr>
              <w:t>按照省司法厅、泉州市司法局关于开展社区矫正中心标准化和智能化建设三年行动工作的部署安排，开展市社区矫正中心标准化和智能化建设</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20.00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20.00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完成社区矫正中心的升级改造工作</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预算执行完成率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资金拨付及时情况</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社区矫正中心升级改造面积</w:t>
            </w:r>
          </w:p>
        </w:tc>
        <w:tc>
          <w:tcPr>
            <w:tcW w:w="1500" w:type="dxa"/>
            <w:vMerge w:val="restart"/>
            <w:vAlign w:val="center"/>
          </w:tcPr>
          <w:p>
            <w:pPr>
              <w:spacing w:before="100" w:after="100"/>
              <w:jc w:val="center"/>
            </w:pPr>
            <w:r>
              <w:rPr>
                <w:rFonts w:ascii="宋体" w:eastAsia="宋体" w:hAnsi="宋体" w:cs="宋体"/>
                <w:sz w:val="20"/>
              </w:rPr>
              <w:t>≥1631.81平方米</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项目建设验收合格率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完成社区矫正中心的升级改造工作</w:t>
            </w:r>
          </w:p>
        </w:tc>
        <w:tc>
          <w:tcPr>
            <w:tcW w:w="1500" w:type="dxa"/>
            <w:vAlign w:val="center"/>
          </w:tcPr>
          <w:p>
            <w:pPr>
              <w:spacing w:before="100" w:after="100"/>
              <w:jc w:val="center"/>
            </w:pPr>
            <w:r>
              <w:rPr>
                <w:rFonts w:ascii="宋体" w:eastAsia="宋体" w:hAnsi="宋体" w:cs="宋体"/>
                <w:sz w:val="20"/>
              </w:rPr>
              <w:t>=完成社区矫正中心的升级改造工作</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社区矫正中心人员满意度</w:t>
            </w:r>
          </w:p>
        </w:tc>
        <w:tc>
          <w:tcPr>
            <w:tcW w:w="1500" w:type="dxa"/>
            <w:vAlign w:val="center"/>
          </w:tcPr>
          <w:p>
            <w:pPr>
              <w:spacing w:before="100" w:after="100"/>
              <w:jc w:val="center"/>
            </w:pPr>
            <w:r>
              <w:rPr>
                <w:rFonts w:ascii="宋体" w:eastAsia="宋体" w:hAnsi="宋体" w:cs="宋体"/>
                <w:sz w:val="20"/>
              </w:rPr>
              <w:t>≥98%</w:t>
            </w:r>
          </w:p>
        </w:tc>
      </w:tr>
    </w:tbl>
    <w:p/>
    <w:p>
      <w:pPr>
        <w:pageBreakBefore/>
        <w:jc w:val="center"/>
      </w:pPr>
      <w:r>
        <w:rPr>
          <w:rFonts w:ascii="方正小标宋简体" w:eastAsia="方正小标宋简体" w:hAnsi="方正小标宋简体" w:cs="方正小标宋简体"/>
          <w:sz w:val="36"/>
        </w:rPr>
        <w:t>“一站式矛调”大厅建设经费项目绩效目标表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826"/>
        <w:gridCol w:w="2026"/>
        <w:gridCol w:w="3816"/>
        <w:gridCol w:w="3084"/>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项目立项情况</w:t>
            </w:r>
          </w:p>
        </w:tc>
        <w:tc>
          <w:tcPr>
            <w:tcW w:w="1500" w:type="dxa"/>
            <w:vMerge w:val="restart"/>
            <w:vAlign w:val="center"/>
          </w:tcPr>
          <w:p>
            <w:pPr>
              <w:spacing w:before="100" w:after="100"/>
              <w:jc w:val="left"/>
            </w:pPr>
            <w:r>
              <w:rPr>
                <w:rFonts w:ascii="宋体" w:eastAsia="宋体" w:hAnsi="宋体" w:cs="宋体"/>
                <w:sz w:val="20"/>
              </w:rPr>
              <w:t>项目立项的依据</w:t>
            </w:r>
          </w:p>
        </w:tc>
        <w:tc>
          <w:tcPr>
            <w:tcW w:w="1500" w:type="dxa"/>
            <w:gridSpan w:val="3"/>
            <w:vMerge w:val="restart"/>
            <w:vAlign w:val="center"/>
          </w:tcPr>
          <w:p>
            <w:pPr>
              <w:spacing w:before="100" w:after="100"/>
              <w:jc w:val="center"/>
            </w:pPr>
            <w:r>
              <w:rPr>
                <w:rFonts w:ascii="宋体" w:eastAsia="宋体" w:hAnsi="宋体" w:cs="宋体"/>
                <w:sz w:val="20"/>
              </w:rPr>
              <w:t>《晋江市“网格+”矛盾纠纷多元化解工作实施方案(试行)》的通知（晋政法〔2023〕33号）等文件</w:t>
            </w:r>
          </w:p>
        </w:tc>
      </w:tr>
      <w:tr>
        <w:tblPrEx>
          <w:tblW w:w="8900" w:type="dxa"/>
        </w:tblPrEx>
        <w:tc>
          <w:tcPr>
            <w:tcW w:w="1500" w:type="dxa"/>
            <w:vMerge/>
          </w:tcPr>
          <w:p/>
        </w:tc>
        <w:tc>
          <w:tcPr>
            <w:tcW w:w="1500" w:type="dxa"/>
            <w:vMerge w:val="restart"/>
            <w:vAlign w:val="center"/>
          </w:tcPr>
          <w:p>
            <w:pPr>
              <w:spacing w:before="100" w:after="100"/>
              <w:jc w:val="left"/>
            </w:pPr>
            <w:r>
              <w:rPr>
                <w:rFonts w:ascii="宋体" w:eastAsia="宋体" w:hAnsi="宋体" w:cs="宋体"/>
                <w:sz w:val="20"/>
              </w:rPr>
              <w:t>项目申报的可行性</w:t>
            </w:r>
          </w:p>
        </w:tc>
        <w:tc>
          <w:tcPr>
            <w:tcW w:w="1500" w:type="dxa"/>
            <w:gridSpan w:val="3"/>
            <w:vMerge w:val="restart"/>
            <w:vAlign w:val="center"/>
          </w:tcPr>
          <w:p>
            <w:pPr>
              <w:spacing w:before="100" w:after="100"/>
              <w:jc w:val="center"/>
            </w:pPr>
            <w:r>
              <w:rPr>
                <w:rFonts w:ascii="宋体" w:eastAsia="宋体" w:hAnsi="宋体" w:cs="宋体"/>
                <w:sz w:val="20"/>
              </w:rPr>
              <w:t>项目根据《晋江市本级政策和项目事前绩效评估工作规程（试行） 》 要求，开展事前绩效评估， 确定项目可行。</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330.00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330.00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在市委、 市政府坚强领导下， 整合市矛盾纠纷多元化解中心与工人维权中心、 市人民调解中心等， 实现“多中心合一”.通过提供矛盾纠纷和工人维权事项受理、 分流、 指派、 引导诉讼仲裁等“一站式”服务， 实现矛盾纠纷闭环管理， 群众矛盾纠纷“一揽子”化解</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预算执行完成率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资金拨付及时情况</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建设矛盾纠纷多元化解中心面积</w:t>
            </w:r>
          </w:p>
        </w:tc>
        <w:tc>
          <w:tcPr>
            <w:tcW w:w="1500" w:type="dxa"/>
            <w:vMerge w:val="restart"/>
            <w:vAlign w:val="center"/>
          </w:tcPr>
          <w:p>
            <w:pPr>
              <w:spacing w:before="100" w:after="100"/>
              <w:jc w:val="center"/>
            </w:pPr>
            <w:r>
              <w:rPr>
                <w:rFonts w:ascii="宋体" w:eastAsia="宋体" w:hAnsi="宋体" w:cs="宋体"/>
                <w:sz w:val="20"/>
              </w:rPr>
              <w:t>≥1960平方米</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当年度项目建设计划完成率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建立调解员队伍</w:t>
            </w:r>
          </w:p>
        </w:tc>
        <w:tc>
          <w:tcPr>
            <w:tcW w:w="1500" w:type="dxa"/>
            <w:vMerge w:val="restart"/>
            <w:vAlign w:val="center"/>
          </w:tcPr>
          <w:p>
            <w:pPr>
              <w:spacing w:before="100" w:after="100"/>
              <w:jc w:val="center"/>
            </w:pPr>
            <w:r>
              <w:rPr>
                <w:rFonts w:ascii="宋体" w:eastAsia="宋体" w:hAnsi="宋体" w:cs="宋体"/>
                <w:sz w:val="20"/>
              </w:rPr>
              <w:t>≥1支</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项目建设验收合格率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社会效益指标</w:t>
            </w:r>
          </w:p>
        </w:tc>
        <w:tc>
          <w:tcPr>
            <w:tcW w:w="3600" w:type="dxa"/>
            <w:vAlign w:val="center"/>
          </w:tcPr>
          <w:p>
            <w:pPr>
              <w:spacing w:before="100" w:after="100"/>
              <w:jc w:val="center"/>
            </w:pPr>
            <w:r>
              <w:rPr>
                <w:rFonts w:ascii="宋体" w:eastAsia="宋体" w:hAnsi="宋体" w:cs="宋体"/>
                <w:sz w:val="20"/>
              </w:rPr>
              <w:t>为群众谋便利，“只进一扇门， 最多跑一地”</w:t>
            </w:r>
          </w:p>
        </w:tc>
        <w:tc>
          <w:tcPr>
            <w:tcW w:w="1500" w:type="dxa"/>
            <w:vAlign w:val="center"/>
          </w:tcPr>
          <w:p>
            <w:pPr>
              <w:spacing w:before="100" w:after="100"/>
              <w:jc w:val="center"/>
            </w:pPr>
            <w:r>
              <w:rPr>
                <w:rFonts w:ascii="宋体" w:eastAsia="宋体" w:hAnsi="宋体" w:cs="宋体"/>
                <w:sz w:val="20"/>
              </w:rPr>
              <w:t>= 建立矛盾纠纷实体化调解阵地</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矛盾纠纷多元化解中心人员满意度</w:t>
            </w:r>
          </w:p>
        </w:tc>
        <w:tc>
          <w:tcPr>
            <w:tcW w:w="1500" w:type="dxa"/>
            <w:vAlign w:val="center"/>
          </w:tcPr>
          <w:p>
            <w:pPr>
              <w:spacing w:before="100" w:after="100"/>
              <w:jc w:val="center"/>
            </w:pPr>
            <w:r>
              <w:rPr>
                <w:rFonts w:ascii="宋体" w:eastAsia="宋体" w:hAnsi="宋体" w:cs="宋体"/>
                <w:sz w:val="20"/>
              </w:rPr>
              <w:t>≥98%</w:t>
            </w:r>
          </w:p>
        </w:tc>
      </w:tr>
    </w:tbl>
    <w:p/>
    <w:p>
      <w:pPr>
        <w:pageBreakBefore/>
        <w:jc w:val="center"/>
      </w:pPr>
      <w:r>
        <w:rPr>
          <w:rFonts w:ascii="方正小标宋简体" w:eastAsia="方正小标宋简体" w:hAnsi="方正小标宋简体" w:cs="方正小标宋简体"/>
          <w:sz w:val="36"/>
        </w:rPr>
        <w:t>司法部优化公证服务经费（</w:t>
      </w:r>
      <w:r>
        <w:rPr>
          <w:rFonts w:ascii="Times New Roman" w:eastAsia="Times New Roman" w:hAnsi="Times New Roman" w:cs="Times New Roman"/>
          <w:sz w:val="36"/>
        </w:rPr>
        <w:t>2023</w:t>
      </w:r>
      <w:r>
        <w:rPr>
          <w:rFonts w:ascii="方正小标宋简体" w:eastAsia="方正小标宋简体" w:hAnsi="方正小标宋简体" w:cs="方正小标宋简体"/>
          <w:sz w:val="36"/>
        </w:rPr>
        <w:t>年结转）项目绩效目标表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226"/>
        <w:gridCol w:w="2026"/>
        <w:gridCol w:w="2226"/>
        <w:gridCol w:w="23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0.34</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0.34</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优化公证服务，更好利企便民。</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社会成本指标</w:t>
            </w:r>
          </w:p>
        </w:tc>
        <w:tc>
          <w:tcPr>
            <w:tcW w:w="3600" w:type="dxa"/>
            <w:vMerge w:val="restart"/>
            <w:vAlign w:val="center"/>
          </w:tcPr>
          <w:p>
            <w:pPr>
              <w:spacing w:before="100" w:after="100"/>
              <w:jc w:val="center"/>
            </w:pPr>
            <w:r>
              <w:rPr>
                <w:rFonts w:ascii="宋体" w:eastAsia="宋体" w:hAnsi="宋体" w:cs="宋体"/>
                <w:sz w:val="20"/>
              </w:rPr>
              <w:t>资金支出</w:t>
            </w:r>
          </w:p>
        </w:tc>
        <w:tc>
          <w:tcPr>
            <w:tcW w:w="1500" w:type="dxa"/>
            <w:vMerge w:val="restart"/>
            <w:vAlign w:val="center"/>
          </w:tcPr>
          <w:p>
            <w:pPr>
              <w:spacing w:before="100" w:after="100"/>
              <w:jc w:val="center"/>
            </w:pPr>
            <w:r>
              <w:rPr>
                <w:rFonts w:ascii="宋体" w:eastAsia="宋体" w:hAnsi="宋体" w:cs="宋体"/>
                <w:sz w:val="20"/>
              </w:rPr>
              <w:t>≤8</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资金支付及时率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资金使用合规性</w:t>
            </w:r>
          </w:p>
        </w:tc>
        <w:tc>
          <w:tcPr>
            <w:tcW w:w="1500" w:type="dxa"/>
            <w:vMerge w:val="restart"/>
            <w:vAlign w:val="center"/>
          </w:tcPr>
          <w:p>
            <w:pPr>
              <w:spacing w:before="100" w:after="100"/>
              <w:jc w:val="center"/>
            </w:pPr>
            <w:r>
              <w:rPr>
                <w:rFonts w:ascii="宋体" w:eastAsia="宋体" w:hAnsi="宋体" w:cs="宋体"/>
                <w:sz w:val="20"/>
              </w:rPr>
              <w:t>=资金使用合规</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效益指标</w:t>
            </w:r>
          </w:p>
        </w:tc>
        <w:tc>
          <w:tcPr>
            <w:tcW w:w="1500" w:type="dxa"/>
            <w:vAlign w:val="center"/>
          </w:tcPr>
          <w:p>
            <w:pPr>
              <w:spacing w:before="100" w:after="100"/>
              <w:jc w:val="center"/>
            </w:pPr>
            <w:r>
              <w:rPr>
                <w:rFonts w:ascii="宋体" w:eastAsia="宋体" w:hAnsi="宋体" w:cs="宋体"/>
                <w:sz w:val="20"/>
              </w:rPr>
              <w:t>生态效益指标</w:t>
            </w:r>
          </w:p>
        </w:tc>
        <w:tc>
          <w:tcPr>
            <w:tcW w:w="3600" w:type="dxa"/>
            <w:vAlign w:val="center"/>
          </w:tcPr>
          <w:p>
            <w:pPr>
              <w:spacing w:before="100" w:after="100"/>
              <w:jc w:val="center"/>
            </w:pPr>
            <w:r>
              <w:rPr>
                <w:rFonts w:ascii="宋体" w:eastAsia="宋体" w:hAnsi="宋体" w:cs="宋体"/>
                <w:sz w:val="20"/>
              </w:rPr>
              <w:t>为企业和民众提供便利</w:t>
            </w:r>
          </w:p>
        </w:tc>
        <w:tc>
          <w:tcPr>
            <w:tcW w:w="1500" w:type="dxa"/>
            <w:vAlign w:val="center"/>
          </w:tcPr>
          <w:p>
            <w:pPr>
              <w:spacing w:before="100" w:after="100"/>
              <w:jc w:val="center"/>
            </w:pPr>
            <w:r>
              <w:rPr>
                <w:rFonts w:ascii="宋体" w:eastAsia="宋体" w:hAnsi="宋体" w:cs="宋体"/>
                <w:sz w:val="20"/>
              </w:rPr>
              <w:t>=为企业和民众提供便利</w:t>
            </w:r>
          </w:p>
        </w:tc>
      </w:tr>
      <w:tr>
        <w:tblPrEx>
          <w:tblW w:w="89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pPr>
        <w:pageBreakBefore/>
        <w:jc w:val="center"/>
      </w:pPr>
      <w:r>
        <w:rPr>
          <w:rFonts w:ascii="方正小标宋简体" w:eastAsia="方正小标宋简体" w:hAnsi="方正小标宋简体" w:cs="方正小标宋简体"/>
          <w:sz w:val="36"/>
        </w:rPr>
        <w:t>司法部优化公证服务经费项目绩效目标表</w:t>
      </w:r>
    </w:p>
    <w:tbl>
      <w:tblPr>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226"/>
        <w:gridCol w:w="2026"/>
        <w:gridCol w:w="2226"/>
        <w:gridCol w:w="2326"/>
      </w:tblGrid>
      <w:tr>
        <w:tblPrEx>
          <w:tblW w:w="89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专项资金情况（万元）</w:t>
            </w:r>
          </w:p>
        </w:tc>
        <w:tc>
          <w:tcPr>
            <w:tcW w:w="1500" w:type="dxa"/>
            <w:vMerge w:val="restart"/>
            <w:vAlign w:val="center"/>
          </w:tcPr>
          <w:p>
            <w:pPr>
              <w:spacing w:before="100" w:after="100"/>
              <w:jc w:val="left"/>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10.00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财政拨款：</w:t>
            </w:r>
          </w:p>
        </w:tc>
        <w:tc>
          <w:tcPr>
            <w:tcW w:w="1500" w:type="dxa"/>
            <w:gridSpan w:val="3"/>
            <w:vAlign w:val="center"/>
          </w:tcPr>
          <w:p>
            <w:pPr>
              <w:spacing w:before="100" w:after="100"/>
              <w:jc w:val="center"/>
            </w:pPr>
            <w:r>
              <w:rPr>
                <w:rFonts w:ascii="宋体" w:eastAsia="宋体" w:hAnsi="宋体" w:cs="宋体"/>
                <w:sz w:val="20"/>
              </w:rPr>
              <w:t>0.00</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10.00</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项目实施期目标</w:t>
            </w:r>
          </w:p>
        </w:tc>
        <w:tc>
          <w:tcPr>
            <w:tcW w:w="1500" w:type="dxa"/>
            <w:gridSpan w:val="4"/>
            <w:vMerge w:val="restart"/>
            <w:vAlign w:val="center"/>
          </w:tcPr>
          <w:p>
            <w:pPr>
              <w:spacing w:before="100" w:after="100"/>
              <w:jc w:val="left"/>
            </w:pPr>
            <w:r>
              <w:rPr>
                <w:rFonts w:ascii="宋体" w:eastAsia="宋体" w:hAnsi="宋体" w:cs="宋体"/>
                <w:sz w:val="20"/>
              </w:rPr>
              <w:t>优化公证服务，更好利企便民。</w:t>
            </w:r>
          </w:p>
        </w:tc>
      </w:tr>
      <w:tr>
        <w:tblPrEx>
          <w:tblW w:w="89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36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社会成本指标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生态环境成本指标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经济成本指标</w:t>
            </w:r>
          </w:p>
        </w:tc>
        <w:tc>
          <w:tcPr>
            <w:tcW w:w="3600" w:type="dxa"/>
            <w:vMerge w:val="restart"/>
            <w:vAlign w:val="center"/>
          </w:tcPr>
          <w:p>
            <w:pPr>
              <w:spacing w:before="100" w:after="100"/>
              <w:jc w:val="center"/>
            </w:pPr>
            <w:r>
              <w:rPr>
                <w:rFonts w:ascii="宋体" w:eastAsia="宋体" w:hAnsi="宋体" w:cs="宋体"/>
                <w:sz w:val="20"/>
              </w:rPr>
              <w:t>预算执行率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tcPr>
          <w:p/>
        </w:tc>
        <w:tc>
          <w:tcPr>
            <w:tcW w:w="3600" w:type="dxa"/>
            <w:vMerge w:val="restart"/>
            <w:vAlign w:val="center"/>
          </w:tcPr>
          <w:p>
            <w:pPr>
              <w:spacing w:before="100" w:after="100"/>
              <w:jc w:val="center"/>
            </w:pPr>
            <w:r>
              <w:rPr>
                <w:rFonts w:ascii="宋体" w:eastAsia="宋体" w:hAnsi="宋体" w:cs="宋体"/>
                <w:sz w:val="20"/>
              </w:rPr>
              <w:t>资金支出</w:t>
            </w:r>
          </w:p>
        </w:tc>
        <w:tc>
          <w:tcPr>
            <w:tcW w:w="1500" w:type="dxa"/>
            <w:vMerge w:val="restart"/>
            <w:vAlign w:val="center"/>
          </w:tcPr>
          <w:p>
            <w:pPr>
              <w:spacing w:before="100" w:after="100"/>
              <w:jc w:val="center"/>
            </w:pPr>
            <w:r>
              <w:rPr>
                <w:rFonts w:ascii="宋体" w:eastAsia="宋体" w:hAnsi="宋体" w:cs="宋体"/>
                <w:sz w:val="20"/>
              </w:rPr>
              <w:t>≤8万元</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3600" w:type="dxa"/>
            <w:vMerge w:val="restart"/>
            <w:vAlign w:val="center"/>
          </w:tcPr>
          <w:p>
            <w:pPr>
              <w:spacing w:before="100" w:after="100"/>
              <w:jc w:val="center"/>
            </w:pPr>
            <w:r>
              <w:rPr>
                <w:rFonts w:ascii="宋体" w:eastAsia="宋体" w:hAnsi="宋体" w:cs="宋体"/>
                <w:sz w:val="20"/>
              </w:rPr>
              <w:t>资金支付及时率</w:t>
            </w:r>
          </w:p>
        </w:tc>
        <w:tc>
          <w:tcPr>
            <w:tcW w:w="1500" w:type="dxa"/>
            <w:vMerge w:val="restart"/>
            <w:vAlign w:val="center"/>
          </w:tcPr>
          <w:p>
            <w:pPr>
              <w:spacing w:before="100" w:after="100"/>
              <w:jc w:val="center"/>
            </w:pPr>
            <w:r>
              <w:rPr>
                <w:rFonts w:ascii="宋体" w:eastAsia="宋体" w:hAnsi="宋体" w:cs="宋体"/>
                <w:sz w:val="20"/>
              </w:rPr>
              <w:t>≥100%</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3600" w:type="dxa"/>
            <w:vMerge w:val="restart"/>
            <w:vAlign w:val="center"/>
          </w:tcPr>
          <w:p>
            <w:pPr>
              <w:spacing w:before="100" w:after="100"/>
              <w:jc w:val="center"/>
            </w:pPr>
            <w:r>
              <w:rPr>
                <w:rFonts w:ascii="宋体" w:eastAsia="宋体" w:hAnsi="宋体" w:cs="宋体"/>
                <w:sz w:val="20"/>
              </w:rPr>
              <w:t>资金使用合规性</w:t>
            </w:r>
          </w:p>
        </w:tc>
        <w:tc>
          <w:tcPr>
            <w:tcW w:w="1500" w:type="dxa"/>
            <w:vMerge w:val="restart"/>
            <w:vAlign w:val="center"/>
          </w:tcPr>
          <w:p>
            <w:pPr>
              <w:spacing w:before="100" w:after="100"/>
              <w:jc w:val="center"/>
            </w:pPr>
            <w:r>
              <w:rPr>
                <w:rFonts w:ascii="宋体" w:eastAsia="宋体" w:hAnsi="宋体" w:cs="宋体"/>
                <w:sz w:val="20"/>
              </w:rPr>
              <w:t>=资金使用合规</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效益指标</w:t>
            </w:r>
          </w:p>
        </w:tc>
        <w:tc>
          <w:tcPr>
            <w:tcW w:w="1500" w:type="dxa"/>
            <w:vMerge w:val="restart"/>
            <w:vAlign w:val="center"/>
          </w:tcPr>
          <w:p>
            <w:pPr>
              <w:spacing w:before="100" w:after="100"/>
              <w:jc w:val="center"/>
            </w:pPr>
            <w:r>
              <w:rPr>
                <w:rFonts w:ascii="宋体" w:eastAsia="宋体" w:hAnsi="宋体" w:cs="宋体"/>
                <w:sz w:val="20"/>
              </w:rPr>
              <w:t>生态效益指标</w:t>
            </w:r>
          </w:p>
        </w:tc>
        <w:tc>
          <w:tcPr>
            <w:tcW w:w="3600" w:type="dxa"/>
            <w:vMerge w:val="restart"/>
            <w:vAlign w:val="center"/>
          </w:tcPr>
          <w:p>
            <w:pPr>
              <w:spacing w:before="100" w:after="100"/>
              <w:jc w:val="center"/>
            </w:pPr>
            <w:r>
              <w:rPr>
                <w:rFonts w:ascii="宋体" w:eastAsia="宋体" w:hAnsi="宋体" w:cs="宋体"/>
                <w:sz w:val="20"/>
              </w:rPr>
              <w:t>为企业和民众提供便利</w:t>
            </w:r>
          </w:p>
        </w:tc>
        <w:tc>
          <w:tcPr>
            <w:tcW w:w="1500" w:type="dxa"/>
            <w:vMerge w:val="restart"/>
            <w:vAlign w:val="center"/>
          </w:tcPr>
          <w:p>
            <w:pPr>
              <w:spacing w:before="100" w:after="100"/>
              <w:jc w:val="center"/>
            </w:pPr>
            <w:r>
              <w:rPr>
                <w:rFonts w:ascii="宋体" w:eastAsia="宋体" w:hAnsi="宋体" w:cs="宋体"/>
                <w:sz w:val="20"/>
              </w:rPr>
              <w:t>=为企业和民众提供便利</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经济效益指标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社会效益指标</w:t>
            </w:r>
          </w:p>
        </w:tc>
        <w:tc>
          <w:tcPr>
            <w:tcW w:w="3600" w:type="dxa"/>
            <w:vMerge w:val="restart"/>
            <w:vAlign w:val="center"/>
          </w:tcPr>
          <w:p>
            <w:pPr>
              <w:spacing w:before="100" w:after="100"/>
              <w:jc w:val="center"/>
            </w:pPr>
            <w:r>
              <w:rPr>
                <w:rFonts w:ascii="宋体" w:eastAsia="宋体" w:hAnsi="宋体" w:cs="宋体"/>
                <w:sz w:val="20"/>
              </w:rPr>
              <w:t>无</w:t>
            </w:r>
          </w:p>
        </w:tc>
        <w:tc>
          <w:tcPr>
            <w:tcW w:w="1500" w:type="dxa"/>
            <w:vMerge w:val="restart"/>
            <w:vAlign w:val="center"/>
          </w:tcPr>
          <w:p>
            <w:pPr>
              <w:spacing w:before="100" w:after="100"/>
              <w:jc w:val="center"/>
            </w:pPr>
            <w:r>
              <w:rPr>
                <w:rFonts w:ascii="宋体" w:eastAsia="宋体" w:hAnsi="宋体" w:cs="宋体"/>
                <w:sz w:val="20"/>
              </w:rPr>
              <w:t>=无</w:t>
            </w:r>
          </w:p>
        </w:tc>
      </w:tr>
      <w:tr>
        <w:tblPrEx>
          <w:tblW w:w="89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满意度指标</w:t>
            </w:r>
          </w:p>
        </w:tc>
        <w:tc>
          <w:tcPr>
            <w:tcW w:w="1500" w:type="dxa"/>
            <w:vMerge w:val="restart"/>
            <w:vAlign w:val="center"/>
          </w:tcPr>
          <w:p>
            <w:pPr>
              <w:spacing w:before="100" w:after="100"/>
              <w:jc w:val="center"/>
            </w:pPr>
            <w:r>
              <w:rPr>
                <w:rFonts w:ascii="宋体" w:eastAsia="宋体" w:hAnsi="宋体" w:cs="宋体"/>
                <w:sz w:val="20"/>
              </w:rPr>
              <w:t>服务对象满意度指标</w:t>
            </w:r>
          </w:p>
        </w:tc>
        <w:tc>
          <w:tcPr>
            <w:tcW w:w="3600" w:type="dxa"/>
            <w:vAlign w:val="center"/>
          </w:tcPr>
          <w:p>
            <w:pPr>
              <w:spacing w:before="100" w:after="100"/>
              <w:jc w:val="center"/>
            </w:pPr>
            <w:r>
              <w:rPr>
                <w:rFonts w:ascii="宋体" w:eastAsia="宋体" w:hAnsi="宋体" w:cs="宋体"/>
                <w:sz w:val="20"/>
              </w:rPr>
              <w:t>民众满意度</w:t>
            </w:r>
          </w:p>
        </w:tc>
        <w:tc>
          <w:tcPr>
            <w:tcW w:w="1500" w:type="dxa"/>
            <w:vAlign w:val="center"/>
          </w:tcPr>
          <w:p>
            <w:pPr>
              <w:spacing w:before="100" w:after="100"/>
              <w:jc w:val="center"/>
            </w:pPr>
            <w:r>
              <w:rPr>
                <w:rFonts w:ascii="宋体" w:eastAsia="宋体" w:hAnsi="宋体" w:cs="宋体"/>
                <w:sz w:val="20"/>
              </w:rPr>
              <w:t>≥90%</w:t>
            </w:r>
          </w:p>
        </w:tc>
      </w:tr>
      <w:tr>
        <w:tblPrEx>
          <w:tblW w:w="8900" w:type="dxa"/>
        </w:tblPrEx>
        <w:tc>
          <w:tcPr>
            <w:tcW w:w="1500" w:type="dxa"/>
            <w:vMerge/>
          </w:tcPr>
          <w:p/>
        </w:tc>
        <w:tc>
          <w:tcPr>
            <w:tcW w:w="1500" w:type="dxa"/>
            <w:vMerge/>
          </w:tcPr>
          <w:p/>
        </w:tc>
        <w:tc>
          <w:tcPr>
            <w:tcW w:w="1500" w:type="dxa"/>
            <w:vMerge/>
          </w:tcPr>
          <w:p/>
        </w:tc>
        <w:tc>
          <w:tcPr>
            <w:tcW w:w="3600" w:type="dxa"/>
            <w:vAlign w:val="center"/>
          </w:tcPr>
          <w:p>
            <w:pPr>
              <w:spacing w:before="100" w:after="100"/>
              <w:jc w:val="center"/>
            </w:pPr>
            <w:r>
              <w:rPr>
                <w:rFonts w:ascii="宋体" w:eastAsia="宋体" w:hAnsi="宋体" w:cs="宋体"/>
                <w:sz w:val="20"/>
              </w:rPr>
              <w:t>企业满意度</w:t>
            </w:r>
          </w:p>
        </w:tc>
        <w:tc>
          <w:tcPr>
            <w:tcW w:w="1500" w:type="dxa"/>
            <w:vAlign w:val="center"/>
          </w:tcPr>
          <w:p>
            <w:pPr>
              <w:spacing w:before="100" w:after="100"/>
              <w:jc w:val="center"/>
            </w:pPr>
            <w:r>
              <w:rPr>
                <w:rFonts w:ascii="宋体" w:eastAsia="宋体" w:hAnsi="宋体" w:cs="宋体"/>
                <w:sz w:val="20"/>
              </w:rPr>
              <w:t>≥90%</w:t>
            </w:r>
          </w:p>
        </w:tc>
      </w:tr>
    </w:tbl>
    <w:p/>
    <w:p w:rsidR="0047245A" w14:paraId="25625908" w14:textId="77777777">
      <w:pPr>
        <w:spacing w:line="600" w:lineRule="exact"/>
        <w:ind w:firstLine="640" w:firstLineChars="200"/>
        <w:jc w:val="left"/>
        <w:rPr>
          <w:rFonts w:ascii="仿宋" w:eastAsia="仿宋" w:hAnsi="仿宋" w:hint="eastAsia"/>
          <w:kern w:val="0"/>
          <w:sz w:val="32"/>
          <w:szCs w:val="32"/>
        </w:rPr>
      </w:pPr>
      <w:r>
        <w:rPr>
          <w:rFonts w:ascii="仿宋" w:eastAsia="仿宋" w:hAnsi="仿宋" w:hint="eastAsia"/>
          <w:kern w:val="0"/>
          <w:sz w:val="32"/>
          <w:szCs w:val="32"/>
        </w:rPr>
        <w:t xml:space="preserve">  </w:t>
      </w:r>
    </w:p>
    <w:p>
      <w:pPr>
        <w:pageBreakBefore/>
        <w:jc w:val="left"/>
      </w:pPr>
      <w:r>
        <w:rPr>
          <w:rFonts w:ascii="仿宋" w:eastAsia="仿宋" w:hAnsi="仿宋" w:cs="仿宋"/>
          <w:sz w:val="32"/>
        </w:rPr>
        <w:t xml:space="preserve">    </w:t>
      </w:r>
      <w:r>
        <w:rPr>
          <w:rFonts w:ascii="Times New Roman" w:eastAsia="Times New Roman" w:hAnsi="Times New Roman" w:cs="Times New Roman"/>
          <w:sz w:val="32"/>
        </w:rPr>
        <w:t>2</w:t>
      </w:r>
      <w:r>
        <w:rPr>
          <w:rFonts w:ascii="仿宋" w:eastAsia="仿宋" w:hAnsi="仿宋" w:cs="仿宋"/>
          <w:sz w:val="32"/>
        </w:rPr>
        <w:t>.部门整体支出绩效目标表</w:t>
      </w:r>
    </w:p>
    <w:p>
      <w:pPr>
        <w:jc w:val="center"/>
      </w:pPr>
      <w:r>
        <w:rPr>
          <w:rFonts w:ascii="方正小标宋简体" w:eastAsia="方正小标宋简体" w:hAnsi="方正小标宋简体" w:cs="方正小标宋简体"/>
          <w:sz w:val="36"/>
        </w:rPr>
        <w:t>部门整体支出绩效目标表</w:t>
      </w:r>
    </w:p>
    <w:p>
      <w:pPr>
        <w:jc w:val="center"/>
      </w:pPr>
      <w:r>
        <w:rPr>
          <w:rFonts w:ascii="宋体" w:eastAsia="宋体" w:hAnsi="宋体" w:cs="宋体"/>
          <w:sz w:val="22"/>
        </w:rPr>
        <w:t>（</w:t>
      </w:r>
      <w:r>
        <w:rPr>
          <w:rFonts w:ascii="Times New Roman" w:eastAsia="Times New Roman" w:hAnsi="Times New Roman" w:cs="Times New Roman"/>
          <w:sz w:val="22"/>
        </w:rPr>
        <w:t>2025</w:t>
      </w:r>
      <w:r>
        <w:rPr>
          <w:rFonts w:ascii="宋体" w:eastAsia="宋体" w:hAnsi="宋体" w:cs="宋体"/>
          <w:sz w:val="22"/>
        </w:rPr>
        <w:t>年度）</w:t>
      </w:r>
    </w:p>
    <w:tbl>
      <w:tblPr>
        <w:tblW w:w="90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tblGrid>
        <w:gridCol w:w="2226"/>
        <w:gridCol w:w="1626"/>
        <w:gridCol w:w="2026"/>
        <w:gridCol w:w="3826"/>
        <w:gridCol w:w="1526"/>
      </w:tblGrid>
      <w:tr>
        <w:tblPrEx>
          <w:tblW w:w="90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c>
          <w:tcPr>
            <w:tcW w:w="1500" w:type="dxa"/>
            <w:vMerge w:val="restart"/>
            <w:vAlign w:val="center"/>
          </w:tcPr>
          <w:p>
            <w:pPr>
              <w:spacing w:before="100" w:after="100"/>
              <w:jc w:val="center"/>
            </w:pPr>
            <w:r>
              <w:rPr>
                <w:rFonts w:ascii="宋体" w:eastAsia="宋体" w:hAnsi="宋体" w:cs="宋体"/>
                <w:sz w:val="20"/>
              </w:rPr>
              <w:t>部门名称</w:t>
            </w:r>
          </w:p>
        </w:tc>
        <w:tc>
          <w:tcPr>
            <w:tcW w:w="1500" w:type="dxa"/>
            <w:vMerge w:val="restart"/>
            <w:vAlign w:val="center"/>
          </w:tcPr>
          <w:p>
            <w:pPr>
              <w:spacing w:before="100" w:after="100"/>
              <w:jc w:val="center"/>
            </w:pPr>
            <w:r>
              <w:rPr>
                <w:rFonts w:ascii="宋体" w:eastAsia="宋体" w:hAnsi="宋体" w:cs="宋体"/>
                <w:sz w:val="20"/>
              </w:rPr>
              <w:t>晋江市司法局</w:t>
            </w:r>
          </w:p>
        </w:tc>
        <w:tc>
          <w:tcPr>
            <w:tcW w:w="1500" w:type="dxa"/>
            <w:vMerge w:val="restart"/>
            <w:vAlign w:val="center"/>
          </w:tcPr>
          <w:p>
            <w:pPr>
              <w:spacing w:before="100" w:after="100"/>
              <w:jc w:val="center"/>
            </w:pPr>
            <w:r>
              <w:rPr>
                <w:rFonts w:ascii="宋体" w:eastAsia="宋体" w:hAnsi="宋体" w:cs="宋体"/>
                <w:sz w:val="20"/>
              </w:rPr>
              <w:t>部门预算编码</w:t>
            </w:r>
          </w:p>
        </w:tc>
        <w:tc>
          <w:tcPr>
            <w:tcW w:w="1500" w:type="dxa"/>
            <w:gridSpan w:val="2"/>
            <w:vAlign w:val="center"/>
          </w:tcPr>
          <w:p>
            <w:pPr>
              <w:spacing w:before="100" w:after="100"/>
              <w:jc w:val="center"/>
            </w:pPr>
            <w:r>
              <w:rPr>
                <w:rFonts w:ascii="宋体" w:eastAsia="宋体" w:hAnsi="宋体" w:cs="宋体"/>
                <w:sz w:val="20"/>
              </w:rPr>
              <w:t>105</w:t>
            </w:r>
          </w:p>
        </w:tc>
      </w:tr>
      <w:tr>
        <w:tblPrEx>
          <w:tblW w:w="9000" w:type="dxa"/>
        </w:tblPrEx>
        <w:tc>
          <w:tcPr>
            <w:tcW w:w="1500" w:type="dxa"/>
            <w:vMerge w:val="restart"/>
            <w:vAlign w:val="center"/>
          </w:tcPr>
          <w:p>
            <w:pPr>
              <w:spacing w:before="100" w:after="100"/>
              <w:jc w:val="center"/>
            </w:pPr>
            <w:r>
              <w:rPr>
                <w:rFonts w:ascii="宋体" w:eastAsia="宋体" w:hAnsi="宋体" w:cs="宋体"/>
                <w:sz w:val="20"/>
              </w:rPr>
              <w:t>年度预算安排（万元）</w:t>
            </w:r>
          </w:p>
        </w:tc>
        <w:tc>
          <w:tcPr>
            <w:tcW w:w="1500" w:type="dxa"/>
            <w:vMerge w:val="restart"/>
            <w:vAlign w:val="center"/>
          </w:tcPr>
          <w:p>
            <w:pPr>
              <w:spacing w:before="100" w:after="100"/>
              <w:jc w:val="center"/>
            </w:pPr>
            <w:r>
              <w:rPr>
                <w:rFonts w:ascii="宋体" w:eastAsia="宋体" w:hAnsi="宋体" w:cs="宋体"/>
                <w:sz w:val="20"/>
              </w:rPr>
              <w:t>资金总额</w:t>
            </w:r>
          </w:p>
        </w:tc>
        <w:tc>
          <w:tcPr>
            <w:tcW w:w="1500" w:type="dxa"/>
            <w:gridSpan w:val="3"/>
            <w:vMerge w:val="restart"/>
            <w:vAlign w:val="center"/>
          </w:tcPr>
          <w:p>
            <w:pPr>
              <w:spacing w:before="100" w:after="100"/>
              <w:jc w:val="center"/>
            </w:pPr>
            <w:r>
              <w:rPr>
                <w:rFonts w:ascii="宋体" w:eastAsia="宋体" w:hAnsi="宋体" w:cs="宋体"/>
                <w:sz w:val="20"/>
              </w:rPr>
              <w:t>4204.43</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项目支出</w:t>
            </w:r>
          </w:p>
        </w:tc>
        <w:tc>
          <w:tcPr>
            <w:tcW w:w="1500" w:type="dxa"/>
            <w:gridSpan w:val="3"/>
            <w:vMerge w:val="restart"/>
            <w:vAlign w:val="center"/>
          </w:tcPr>
          <w:p>
            <w:pPr>
              <w:spacing w:before="100" w:after="100"/>
              <w:jc w:val="center"/>
            </w:pPr>
            <w:r>
              <w:rPr>
                <w:rFonts w:ascii="宋体" w:eastAsia="宋体" w:hAnsi="宋体" w:cs="宋体"/>
                <w:sz w:val="20"/>
              </w:rPr>
              <w:t>1556.00</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基本支出</w:t>
            </w:r>
          </w:p>
        </w:tc>
        <w:tc>
          <w:tcPr>
            <w:tcW w:w="1500" w:type="dxa"/>
            <w:gridSpan w:val="3"/>
            <w:vAlign w:val="center"/>
          </w:tcPr>
          <w:p>
            <w:pPr>
              <w:spacing w:before="100" w:after="100"/>
              <w:jc w:val="center"/>
            </w:pPr>
            <w:r>
              <w:rPr>
                <w:rFonts w:ascii="宋体" w:eastAsia="宋体" w:hAnsi="宋体" w:cs="宋体"/>
                <w:sz w:val="20"/>
              </w:rPr>
              <w:t>2648.43</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其他资金</w:t>
            </w:r>
          </w:p>
        </w:tc>
        <w:tc>
          <w:tcPr>
            <w:tcW w:w="1500" w:type="dxa"/>
            <w:gridSpan w:val="3"/>
            <w:vAlign w:val="center"/>
          </w:tcPr>
          <w:p>
            <w:pPr>
              <w:spacing w:before="100" w:after="100"/>
              <w:jc w:val="center"/>
            </w:pPr>
            <w:r>
              <w:rPr>
                <w:rFonts w:ascii="宋体" w:eastAsia="宋体" w:hAnsi="宋体" w:cs="宋体"/>
                <w:sz w:val="20"/>
              </w:rPr>
              <w:t>0.00</w:t>
            </w:r>
          </w:p>
        </w:tc>
      </w:tr>
      <w:tr>
        <w:tblPrEx>
          <w:tblW w:w="9000" w:type="dxa"/>
        </w:tblPrEx>
        <w:tc>
          <w:tcPr>
            <w:tcW w:w="1500" w:type="dxa"/>
            <w:vMerge w:val="restart"/>
            <w:vAlign w:val="center"/>
          </w:tcPr>
          <w:p>
            <w:pPr>
              <w:spacing w:before="100" w:after="100"/>
              <w:jc w:val="center"/>
            </w:pPr>
            <w:r>
              <w:rPr>
                <w:rFonts w:ascii="宋体" w:eastAsia="宋体" w:hAnsi="宋体" w:cs="宋体"/>
                <w:sz w:val="20"/>
              </w:rPr>
              <w:t>总体目标</w:t>
            </w:r>
          </w:p>
        </w:tc>
        <w:tc>
          <w:tcPr>
            <w:tcW w:w="1500" w:type="dxa"/>
            <w:gridSpan w:val="4"/>
            <w:vMerge w:val="restart"/>
            <w:vAlign w:val="center"/>
          </w:tcPr>
          <w:p>
            <w:pPr>
              <w:spacing w:before="100" w:after="100"/>
              <w:jc w:val="center"/>
            </w:pPr>
            <w:r>
              <w:rPr>
                <w:rFonts w:ascii="宋体" w:eastAsia="宋体" w:hAnsi="宋体" w:cs="宋体"/>
                <w:sz w:val="20"/>
              </w:rPr>
              <w:t>依法履行司法行政工作</w:t>
            </w:r>
          </w:p>
        </w:tc>
      </w:tr>
      <w:tr>
        <w:tblPrEx>
          <w:tblW w:w="9000" w:type="dxa"/>
        </w:tblPrEx>
        <w:tc>
          <w:tcPr>
            <w:tcW w:w="1500" w:type="dxa"/>
            <w:vMerge w:val="restart"/>
            <w:vAlign w:val="center"/>
          </w:tcPr>
          <w:p>
            <w:pPr>
              <w:spacing w:before="100" w:after="100"/>
              <w:jc w:val="center"/>
            </w:pPr>
            <w:r>
              <w:rPr>
                <w:rFonts w:ascii="宋体" w:eastAsia="宋体" w:hAnsi="宋体" w:cs="宋体"/>
                <w:sz w:val="20"/>
              </w:rPr>
              <w:t>绩效目标指标</w:t>
            </w:r>
          </w:p>
        </w:tc>
        <w:tc>
          <w:tcPr>
            <w:tcW w:w="1500" w:type="dxa"/>
            <w:vMerge w:val="restart"/>
            <w:vAlign w:val="center"/>
          </w:tcPr>
          <w:p>
            <w:pPr>
              <w:spacing w:before="100" w:after="100"/>
              <w:jc w:val="center"/>
            </w:pPr>
            <w:r>
              <w:rPr>
                <w:rFonts w:ascii="宋体" w:eastAsia="宋体" w:hAnsi="宋体" w:cs="宋体"/>
                <w:sz w:val="20"/>
              </w:rPr>
              <w:t>一级指标</w:t>
            </w:r>
          </w:p>
        </w:tc>
        <w:tc>
          <w:tcPr>
            <w:tcW w:w="1500" w:type="dxa"/>
            <w:vMerge w:val="restart"/>
            <w:vAlign w:val="center"/>
          </w:tcPr>
          <w:p>
            <w:pPr>
              <w:spacing w:before="100" w:after="100"/>
              <w:jc w:val="center"/>
            </w:pPr>
            <w:r>
              <w:rPr>
                <w:rFonts w:ascii="宋体" w:eastAsia="宋体" w:hAnsi="宋体" w:cs="宋体"/>
                <w:sz w:val="20"/>
              </w:rPr>
              <w:t>二级指标</w:t>
            </w:r>
          </w:p>
        </w:tc>
        <w:tc>
          <w:tcPr>
            <w:tcW w:w="1500" w:type="dxa"/>
            <w:vMerge w:val="restart"/>
            <w:vAlign w:val="center"/>
          </w:tcPr>
          <w:p>
            <w:pPr>
              <w:spacing w:before="100" w:after="100"/>
              <w:jc w:val="center"/>
            </w:pPr>
            <w:r>
              <w:rPr>
                <w:rFonts w:ascii="宋体" w:eastAsia="宋体" w:hAnsi="宋体" w:cs="宋体"/>
                <w:sz w:val="20"/>
              </w:rPr>
              <w:t>三级指标</w:t>
            </w:r>
          </w:p>
        </w:tc>
        <w:tc>
          <w:tcPr>
            <w:tcW w:w="1500" w:type="dxa"/>
            <w:vMerge w:val="restart"/>
            <w:vAlign w:val="center"/>
          </w:tcPr>
          <w:p>
            <w:pPr>
              <w:spacing w:before="100" w:after="100"/>
              <w:jc w:val="center"/>
            </w:pPr>
            <w:r>
              <w:rPr>
                <w:rFonts w:ascii="宋体" w:eastAsia="宋体" w:hAnsi="宋体" w:cs="宋体"/>
                <w:sz w:val="20"/>
              </w:rPr>
              <w:t>目标值</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一般性支出情况</w:t>
            </w:r>
          </w:p>
        </w:tc>
        <w:tc>
          <w:tcPr>
            <w:tcW w:w="1500" w:type="dxa"/>
            <w:vMerge w:val="restart"/>
            <w:vAlign w:val="center"/>
          </w:tcPr>
          <w:p>
            <w:pPr>
              <w:spacing w:before="100" w:after="100"/>
              <w:jc w:val="center"/>
            </w:pPr>
            <w:r>
              <w:rPr>
                <w:rFonts w:ascii="宋体" w:eastAsia="宋体" w:hAnsi="宋体" w:cs="宋体"/>
                <w:sz w:val="20"/>
              </w:rPr>
              <w:t>一般性支出情况</w:t>
            </w:r>
          </w:p>
        </w:tc>
        <w:tc>
          <w:tcPr>
            <w:tcW w:w="1500" w:type="dxa"/>
            <w:vMerge w:val="restart"/>
            <w:vAlign w:val="center"/>
          </w:tcPr>
          <w:p>
            <w:pPr>
              <w:spacing w:before="100" w:after="100"/>
              <w:jc w:val="center"/>
            </w:pPr>
            <w:r>
              <w:rPr>
                <w:rFonts w:ascii="宋体" w:eastAsia="宋体" w:hAnsi="宋体" w:cs="宋体"/>
                <w:sz w:val="20"/>
              </w:rPr>
              <w:t>“三公”经费控制率</w:t>
            </w:r>
          </w:p>
        </w:tc>
        <w:tc>
          <w:tcPr>
            <w:tcW w:w="1500" w:type="dxa"/>
            <w:vMerge w:val="restart"/>
            <w:vAlign w:val="center"/>
          </w:tcPr>
          <w:p>
            <w:pPr>
              <w:spacing w:before="100" w:after="100"/>
              <w:jc w:val="center"/>
            </w:pPr>
            <w:r>
              <w:rPr>
                <w:rFonts w:ascii="宋体" w:eastAsia="宋体" w:hAnsi="宋体" w:cs="宋体"/>
                <w:sz w:val="20"/>
              </w:rPr>
              <w:t>≤100%</w:t>
            </w:r>
          </w:p>
        </w:tc>
      </w:tr>
      <w:tr>
        <w:tblPrEx>
          <w:tblW w:w="9000" w:type="dxa"/>
        </w:tblPrEx>
        <w:tc>
          <w:tcPr>
            <w:tcW w:w="1500" w:type="dxa"/>
            <w:vMerge/>
          </w:tcPr>
          <w:p/>
        </w:tc>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“三公”经费违规使用次数</w:t>
            </w:r>
          </w:p>
        </w:tc>
        <w:tc>
          <w:tcPr>
            <w:tcW w:w="1500" w:type="dxa"/>
            <w:vMerge w:val="restart"/>
            <w:vAlign w:val="center"/>
          </w:tcPr>
          <w:p>
            <w:pPr>
              <w:spacing w:before="100" w:after="100"/>
              <w:jc w:val="center"/>
            </w:pPr>
            <w:r>
              <w:rPr>
                <w:rFonts w:ascii="宋体" w:eastAsia="宋体" w:hAnsi="宋体" w:cs="宋体"/>
                <w:sz w:val="20"/>
              </w:rPr>
              <w:t>≤0次</w:t>
            </w:r>
          </w:p>
        </w:tc>
      </w:tr>
      <w:tr>
        <w:tblPrEx>
          <w:tblW w:w="9000" w:type="dxa"/>
        </w:tblPrEx>
        <w:tc>
          <w:tcPr>
            <w:tcW w:w="1500" w:type="dxa"/>
            <w:vMerge/>
          </w:tcPr>
          <w:p/>
        </w:tc>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会议费、差旅费超标准使用次数</w:t>
            </w:r>
          </w:p>
        </w:tc>
        <w:tc>
          <w:tcPr>
            <w:tcW w:w="1500" w:type="dxa"/>
            <w:vMerge w:val="restart"/>
            <w:vAlign w:val="center"/>
          </w:tcPr>
          <w:p>
            <w:pPr>
              <w:spacing w:before="100" w:after="100"/>
              <w:jc w:val="center"/>
            </w:pPr>
            <w:r>
              <w:rPr>
                <w:rFonts w:ascii="宋体" w:eastAsia="宋体" w:hAnsi="宋体" w:cs="宋体"/>
                <w:sz w:val="20"/>
              </w:rPr>
              <w:t>≤0次</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成本指标</w:t>
            </w:r>
          </w:p>
        </w:tc>
        <w:tc>
          <w:tcPr>
            <w:tcW w:w="1500" w:type="dxa"/>
            <w:vMerge w:val="restart"/>
            <w:vAlign w:val="center"/>
          </w:tcPr>
          <w:p>
            <w:pPr>
              <w:spacing w:before="100" w:after="100"/>
              <w:jc w:val="center"/>
            </w:pPr>
            <w:r>
              <w:rPr>
                <w:rFonts w:ascii="宋体" w:eastAsia="宋体" w:hAnsi="宋体" w:cs="宋体"/>
                <w:sz w:val="20"/>
              </w:rPr>
              <w:t>经济成本指标</w:t>
            </w:r>
          </w:p>
        </w:tc>
        <w:tc>
          <w:tcPr>
            <w:tcW w:w="1500" w:type="dxa"/>
            <w:vMerge w:val="restart"/>
            <w:vAlign w:val="center"/>
          </w:tcPr>
          <w:p>
            <w:pPr>
              <w:spacing w:before="100" w:after="100"/>
              <w:jc w:val="center"/>
            </w:pPr>
            <w:r>
              <w:rPr>
                <w:rFonts w:ascii="宋体" w:eastAsia="宋体" w:hAnsi="宋体" w:cs="宋体"/>
                <w:sz w:val="20"/>
              </w:rPr>
              <w:t>资金支出</w:t>
            </w:r>
          </w:p>
        </w:tc>
        <w:tc>
          <w:tcPr>
            <w:tcW w:w="1500" w:type="dxa"/>
            <w:vMerge w:val="restart"/>
            <w:vAlign w:val="center"/>
          </w:tcPr>
          <w:p>
            <w:pPr>
              <w:spacing w:before="100" w:after="100"/>
              <w:jc w:val="center"/>
            </w:pPr>
            <w:r>
              <w:rPr>
                <w:rFonts w:ascii="宋体" w:eastAsia="宋体" w:hAnsi="宋体" w:cs="宋体"/>
                <w:sz w:val="20"/>
              </w:rPr>
              <w:t>≥4142.43万元</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产出指标</w:t>
            </w:r>
          </w:p>
        </w:tc>
        <w:tc>
          <w:tcPr>
            <w:tcW w:w="1500" w:type="dxa"/>
            <w:vMerge w:val="restart"/>
            <w:vAlign w:val="center"/>
          </w:tcPr>
          <w:p>
            <w:pPr>
              <w:spacing w:before="100" w:after="100"/>
              <w:jc w:val="center"/>
            </w:pPr>
            <w:r>
              <w:rPr>
                <w:rFonts w:ascii="宋体" w:eastAsia="宋体" w:hAnsi="宋体" w:cs="宋体"/>
                <w:sz w:val="20"/>
              </w:rPr>
              <w:t>时效指标</w:t>
            </w:r>
          </w:p>
        </w:tc>
        <w:tc>
          <w:tcPr>
            <w:tcW w:w="1500" w:type="dxa"/>
            <w:vMerge w:val="restart"/>
            <w:vAlign w:val="center"/>
          </w:tcPr>
          <w:p>
            <w:pPr>
              <w:spacing w:before="100" w:after="100"/>
              <w:jc w:val="center"/>
            </w:pPr>
            <w:r>
              <w:rPr>
                <w:rFonts w:ascii="宋体" w:eastAsia="宋体" w:hAnsi="宋体" w:cs="宋体"/>
                <w:sz w:val="20"/>
              </w:rPr>
              <w:t>资金支付及时率</w:t>
            </w:r>
          </w:p>
        </w:tc>
        <w:tc>
          <w:tcPr>
            <w:tcW w:w="1500" w:type="dxa"/>
            <w:vMerge w:val="restart"/>
            <w:vAlign w:val="center"/>
          </w:tcPr>
          <w:p>
            <w:pPr>
              <w:spacing w:before="100" w:after="100"/>
              <w:jc w:val="center"/>
            </w:pPr>
            <w:r>
              <w:rPr>
                <w:rFonts w:ascii="宋体" w:eastAsia="宋体" w:hAnsi="宋体" w:cs="宋体"/>
                <w:sz w:val="20"/>
              </w:rPr>
              <w:t>≥100%</w:t>
            </w:r>
          </w:p>
        </w:tc>
      </w:tr>
      <w:tr>
        <w:tblPrEx>
          <w:tblW w:w="90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数量指标</w:t>
            </w:r>
          </w:p>
        </w:tc>
        <w:tc>
          <w:tcPr>
            <w:tcW w:w="1500" w:type="dxa"/>
            <w:vMerge w:val="restart"/>
            <w:vAlign w:val="center"/>
          </w:tcPr>
          <w:p>
            <w:pPr>
              <w:spacing w:before="100" w:after="100"/>
              <w:jc w:val="center"/>
            </w:pPr>
            <w:r>
              <w:rPr>
                <w:rFonts w:ascii="宋体" w:eastAsia="宋体" w:hAnsi="宋体" w:cs="宋体"/>
                <w:sz w:val="20"/>
              </w:rPr>
              <w:t>支持办理法律援助办案数量</w:t>
            </w:r>
          </w:p>
        </w:tc>
        <w:tc>
          <w:tcPr>
            <w:tcW w:w="1500" w:type="dxa"/>
            <w:vMerge w:val="restart"/>
            <w:vAlign w:val="center"/>
          </w:tcPr>
          <w:p>
            <w:pPr>
              <w:spacing w:before="100" w:after="100"/>
              <w:jc w:val="center"/>
            </w:pPr>
            <w:r>
              <w:rPr>
                <w:rFonts w:ascii="宋体" w:eastAsia="宋体" w:hAnsi="宋体" w:cs="宋体"/>
                <w:sz w:val="20"/>
              </w:rPr>
              <w:t>≥1200起</w:t>
            </w:r>
          </w:p>
        </w:tc>
      </w:tr>
      <w:tr>
        <w:tblPrEx>
          <w:tblW w:w="9000" w:type="dxa"/>
        </w:tblPrEx>
        <w:tc>
          <w:tcPr>
            <w:tcW w:w="1500" w:type="dxa"/>
            <w:vMerge/>
          </w:tcPr>
          <w:p/>
        </w:tc>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支持办理矛盾纠纷化解案件数量</w:t>
            </w:r>
          </w:p>
        </w:tc>
        <w:tc>
          <w:tcPr>
            <w:tcW w:w="1500" w:type="dxa"/>
            <w:vMerge w:val="restart"/>
            <w:vAlign w:val="center"/>
          </w:tcPr>
          <w:p>
            <w:pPr>
              <w:spacing w:before="100" w:after="100"/>
              <w:jc w:val="center"/>
            </w:pPr>
            <w:r>
              <w:rPr>
                <w:rFonts w:ascii="宋体" w:eastAsia="宋体" w:hAnsi="宋体" w:cs="宋体"/>
                <w:sz w:val="20"/>
              </w:rPr>
              <w:t>≥4000起</w:t>
            </w:r>
          </w:p>
        </w:tc>
      </w:tr>
      <w:tr>
        <w:tblPrEx>
          <w:tblW w:w="9000" w:type="dxa"/>
        </w:tblPrEx>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质量指标</w:t>
            </w:r>
          </w:p>
        </w:tc>
        <w:tc>
          <w:tcPr>
            <w:tcW w:w="1500" w:type="dxa"/>
            <w:vMerge w:val="restart"/>
            <w:vAlign w:val="center"/>
          </w:tcPr>
          <w:p>
            <w:pPr>
              <w:spacing w:before="100" w:after="100"/>
              <w:jc w:val="center"/>
            </w:pPr>
            <w:r>
              <w:rPr>
                <w:rFonts w:ascii="宋体" w:eastAsia="宋体" w:hAnsi="宋体" w:cs="宋体"/>
                <w:sz w:val="20"/>
              </w:rPr>
              <w:t>法律援助案件批准率</w:t>
            </w:r>
          </w:p>
        </w:tc>
        <w:tc>
          <w:tcPr>
            <w:tcW w:w="1500" w:type="dxa"/>
            <w:vMerge w:val="restart"/>
            <w:vAlign w:val="center"/>
          </w:tcPr>
          <w:p>
            <w:pPr>
              <w:spacing w:before="100" w:after="100"/>
              <w:jc w:val="center"/>
            </w:pPr>
            <w:r>
              <w:rPr>
                <w:rFonts w:ascii="宋体" w:eastAsia="宋体" w:hAnsi="宋体" w:cs="宋体"/>
                <w:sz w:val="20"/>
              </w:rPr>
              <w:t>≥90%</w:t>
            </w:r>
          </w:p>
        </w:tc>
      </w:tr>
      <w:tr>
        <w:tblPrEx>
          <w:tblW w:w="9000" w:type="dxa"/>
        </w:tblPrEx>
        <w:tc>
          <w:tcPr>
            <w:tcW w:w="1500" w:type="dxa"/>
            <w:vMerge/>
          </w:tcPr>
          <w:p/>
        </w:tc>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有效控制社区服刑人员的再犯罪率</w:t>
            </w:r>
          </w:p>
        </w:tc>
        <w:tc>
          <w:tcPr>
            <w:tcW w:w="1500" w:type="dxa"/>
            <w:vMerge w:val="restart"/>
            <w:vAlign w:val="center"/>
          </w:tcPr>
          <w:p>
            <w:pPr>
              <w:spacing w:before="100" w:after="100"/>
              <w:jc w:val="center"/>
            </w:pPr>
            <w:r>
              <w:rPr>
                <w:rFonts w:ascii="宋体" w:eastAsia="宋体" w:hAnsi="宋体" w:cs="宋体"/>
                <w:sz w:val="20"/>
              </w:rPr>
              <w:t>≤1%</w:t>
            </w:r>
          </w:p>
        </w:tc>
      </w:tr>
      <w:tr>
        <w:tblPrEx>
          <w:tblW w:w="9000" w:type="dxa"/>
        </w:tblPrEx>
        <w:tc>
          <w:tcPr>
            <w:tcW w:w="1500" w:type="dxa"/>
            <w:vMerge/>
          </w:tcPr>
          <w:p/>
        </w:tc>
        <w:tc>
          <w:tcPr>
            <w:tcW w:w="1500" w:type="dxa"/>
            <w:vMerge w:val="restart"/>
            <w:vAlign w:val="center"/>
          </w:tcPr>
          <w:p>
            <w:pPr>
              <w:spacing w:before="100" w:after="100"/>
              <w:jc w:val="center"/>
            </w:pPr>
            <w:r>
              <w:rPr>
                <w:rFonts w:ascii="宋体" w:eastAsia="宋体" w:hAnsi="宋体" w:cs="宋体"/>
                <w:sz w:val="20"/>
              </w:rPr>
              <w:t>效益指标</w:t>
            </w:r>
          </w:p>
        </w:tc>
        <w:tc>
          <w:tcPr>
            <w:tcW w:w="1500" w:type="dxa"/>
            <w:vMerge w:val="restart"/>
            <w:vAlign w:val="center"/>
          </w:tcPr>
          <w:p>
            <w:pPr>
              <w:spacing w:before="100" w:after="100"/>
              <w:jc w:val="center"/>
            </w:pPr>
            <w:r>
              <w:rPr>
                <w:rFonts w:ascii="宋体" w:eastAsia="宋体" w:hAnsi="宋体" w:cs="宋体"/>
                <w:sz w:val="20"/>
              </w:rPr>
              <w:t>社会效益指标</w:t>
            </w:r>
          </w:p>
        </w:tc>
        <w:tc>
          <w:tcPr>
            <w:tcW w:w="1500" w:type="dxa"/>
            <w:vMerge w:val="restart"/>
            <w:vAlign w:val="center"/>
          </w:tcPr>
          <w:p>
            <w:pPr>
              <w:spacing w:before="100" w:after="100"/>
              <w:jc w:val="center"/>
            </w:pPr>
            <w:r>
              <w:rPr>
                <w:rFonts w:ascii="宋体" w:eastAsia="宋体" w:hAnsi="宋体" w:cs="宋体"/>
                <w:sz w:val="20"/>
              </w:rPr>
              <w:t>多形式开展普法和依法治理各项宣传活动</w:t>
            </w:r>
          </w:p>
        </w:tc>
        <w:tc>
          <w:tcPr>
            <w:tcW w:w="1500" w:type="dxa"/>
            <w:vMerge w:val="restart"/>
            <w:vAlign w:val="center"/>
          </w:tcPr>
          <w:p>
            <w:pPr>
              <w:spacing w:before="100" w:after="100"/>
              <w:jc w:val="center"/>
            </w:pPr>
            <w:r>
              <w:rPr>
                <w:rFonts w:ascii="宋体" w:eastAsia="宋体" w:hAnsi="宋体" w:cs="宋体"/>
                <w:sz w:val="20"/>
              </w:rPr>
              <w:t>≥5种</w:t>
            </w:r>
          </w:p>
        </w:tc>
      </w:tr>
      <w:tr>
        <w:tblPrEx>
          <w:tblW w:w="9000" w:type="dxa"/>
        </w:tblPrEx>
        <w:tc>
          <w:tcPr>
            <w:tcW w:w="1500" w:type="dxa"/>
            <w:vMerge/>
          </w:tcPr>
          <w:p/>
        </w:tc>
        <w:tc>
          <w:tcPr>
            <w:tcW w:w="1500" w:type="dxa"/>
            <w:vMerge/>
          </w:tcPr>
          <w:p/>
        </w:tc>
        <w:tc>
          <w:tcPr>
            <w:tcW w:w="1500" w:type="dxa"/>
            <w:vMerge/>
          </w:tcPr>
          <w:p/>
        </w:tc>
        <w:tc>
          <w:tcPr>
            <w:tcW w:w="1500" w:type="dxa"/>
            <w:vMerge w:val="restart"/>
            <w:vAlign w:val="center"/>
          </w:tcPr>
          <w:p>
            <w:pPr>
              <w:spacing w:before="100" w:after="100"/>
              <w:jc w:val="center"/>
            </w:pPr>
            <w:r>
              <w:rPr>
                <w:rFonts w:ascii="宋体" w:eastAsia="宋体" w:hAnsi="宋体" w:cs="宋体"/>
                <w:sz w:val="20"/>
              </w:rPr>
              <w:t>对形释教解人员各项安置帮教工作完成率</w:t>
            </w:r>
          </w:p>
        </w:tc>
        <w:tc>
          <w:tcPr>
            <w:tcW w:w="1500" w:type="dxa"/>
            <w:vMerge w:val="restart"/>
            <w:vAlign w:val="center"/>
          </w:tcPr>
          <w:p>
            <w:pPr>
              <w:spacing w:before="100" w:after="100"/>
              <w:jc w:val="center"/>
            </w:pPr>
            <w:r>
              <w:rPr>
                <w:rFonts w:ascii="宋体" w:eastAsia="宋体" w:hAnsi="宋体" w:cs="宋体"/>
                <w:sz w:val="20"/>
              </w:rPr>
              <w:t>≥95%</w:t>
            </w:r>
          </w:p>
        </w:tc>
      </w:tr>
      <w:tr>
        <w:tblPrEx>
          <w:tblW w:w="9000" w:type="dxa"/>
        </w:tblPrEx>
        <w:tc>
          <w:tcPr>
            <w:tcW w:w="1500" w:type="dxa"/>
            <w:vMerge/>
          </w:tcPr>
          <w:p/>
        </w:tc>
        <w:tc>
          <w:tcPr>
            <w:tcW w:w="1500" w:type="dxa"/>
            <w:vMerge/>
          </w:tcPr>
          <w:p/>
        </w:tc>
        <w:tc>
          <w:tcPr>
            <w:tcW w:w="1500" w:type="dxa"/>
            <w:vMerge/>
          </w:tcPr>
          <w:p/>
        </w:tc>
        <w:tc>
          <w:tcPr>
            <w:tcW w:w="1500" w:type="dxa"/>
            <w:vAlign w:val="center"/>
          </w:tcPr>
          <w:p>
            <w:pPr>
              <w:spacing w:before="100" w:after="100"/>
              <w:jc w:val="center"/>
            </w:pPr>
            <w:r>
              <w:rPr>
                <w:rFonts w:ascii="宋体" w:eastAsia="宋体" w:hAnsi="宋体" w:cs="宋体"/>
                <w:sz w:val="20"/>
              </w:rPr>
              <w:t>社区服刑人员职业技能培训率</w:t>
            </w:r>
          </w:p>
        </w:tc>
        <w:tc>
          <w:tcPr>
            <w:tcW w:w="1500" w:type="dxa"/>
            <w:vAlign w:val="center"/>
          </w:tcPr>
          <w:p>
            <w:pPr>
              <w:spacing w:before="100" w:after="100"/>
              <w:jc w:val="center"/>
            </w:pPr>
            <w:r>
              <w:rPr>
                <w:rFonts w:ascii="宋体" w:eastAsia="宋体" w:hAnsi="宋体" w:cs="宋体"/>
                <w:sz w:val="20"/>
              </w:rPr>
              <w:t>≥6.8%</w:t>
            </w:r>
          </w:p>
        </w:tc>
      </w:tr>
      <w:tr>
        <w:tblPrEx>
          <w:tblW w:w="9000" w:type="dxa"/>
        </w:tblPrEx>
        <w:tc>
          <w:tcPr>
            <w:tcW w:w="1500" w:type="dxa"/>
            <w:vMerge/>
          </w:tcPr>
          <w:p/>
        </w:tc>
        <w:tc>
          <w:tcPr>
            <w:tcW w:w="1500" w:type="dxa"/>
            <w:vAlign w:val="center"/>
          </w:tcPr>
          <w:p>
            <w:pPr>
              <w:spacing w:before="100" w:after="100"/>
              <w:jc w:val="center"/>
            </w:pPr>
            <w:r>
              <w:rPr>
                <w:rFonts w:ascii="宋体" w:eastAsia="宋体" w:hAnsi="宋体" w:cs="宋体"/>
                <w:sz w:val="20"/>
              </w:rPr>
              <w:t>满意度指标</w:t>
            </w:r>
          </w:p>
        </w:tc>
        <w:tc>
          <w:tcPr>
            <w:tcW w:w="1500" w:type="dxa"/>
            <w:vAlign w:val="center"/>
          </w:tcPr>
          <w:p>
            <w:pPr>
              <w:spacing w:before="100" w:after="100"/>
              <w:jc w:val="center"/>
            </w:pPr>
            <w:r>
              <w:rPr>
                <w:rFonts w:ascii="宋体" w:eastAsia="宋体" w:hAnsi="宋体" w:cs="宋体"/>
                <w:sz w:val="20"/>
              </w:rPr>
              <w:t>服务对象满意度指标</w:t>
            </w:r>
          </w:p>
        </w:tc>
        <w:tc>
          <w:tcPr>
            <w:tcW w:w="1500" w:type="dxa"/>
            <w:vAlign w:val="center"/>
          </w:tcPr>
          <w:p>
            <w:pPr>
              <w:spacing w:before="100" w:after="100"/>
              <w:jc w:val="center"/>
            </w:pPr>
            <w:r>
              <w:rPr>
                <w:rFonts w:ascii="宋体" w:eastAsia="宋体" w:hAnsi="宋体" w:cs="宋体"/>
                <w:sz w:val="20"/>
              </w:rPr>
              <w:t>社会公众对司法行政机关人员满意率</w:t>
            </w:r>
          </w:p>
        </w:tc>
        <w:tc>
          <w:tcPr>
            <w:tcW w:w="1500" w:type="dxa"/>
            <w:vAlign w:val="center"/>
          </w:tcPr>
          <w:p>
            <w:pPr>
              <w:spacing w:before="100" w:after="100"/>
              <w:jc w:val="center"/>
            </w:pPr>
            <w:r>
              <w:rPr>
                <w:rFonts w:ascii="宋体" w:eastAsia="宋体" w:hAnsi="宋体" w:cs="宋体"/>
                <w:sz w:val="20"/>
              </w:rPr>
              <w:t>≥90%</w:t>
            </w:r>
          </w:p>
        </w:tc>
      </w:tr>
    </w:tbl>
    <w:p/>
    <w:p w:rsidR="000D1168" w14:paraId="48FE5D79" w14:textId="77777777">
      <w:pPr>
        <w:spacing w:line="600" w:lineRule="exact"/>
        <w:ind w:firstLine="640" w:firstLineChars="200"/>
        <w:jc w:val="left"/>
        <w:rPr>
          <w:rFonts w:ascii="仿宋" w:eastAsia="仿宋" w:hAnsi="仿宋" w:hint="eastAsia"/>
          <w:kern w:val="0"/>
          <w:sz w:val="32"/>
          <w:szCs w:val="32"/>
        </w:rPr>
      </w:pPr>
    </w:p>
    <w:p w:rsidR="0047245A" w14:paraId="6154D56E" w14:textId="77777777">
      <w:pPr>
        <w:spacing w:line="590" w:lineRule="exact"/>
        <w:ind w:firstLine="640" w:firstLineChars="200"/>
        <w:rPr>
          <w:rFonts w:ascii="仿宋" w:eastAsia="仿宋" w:hAnsi="仿宋" w:hint="eastAsia"/>
          <w:b/>
          <w:sz w:val="32"/>
          <w:szCs w:val="32"/>
        </w:rPr>
      </w:pPr>
      <w:r>
        <w:rPr>
          <w:rFonts w:ascii="Times New Roman" w:eastAsia="Times New Roman" w:hAnsi="Times New Roman" w:cs="Times New Roman"/>
          <w:sz w:val="32"/>
        </w:rPr>
        <w:t>3</w:t>
      </w:r>
      <w:r>
        <w:rPr>
          <w:rFonts w:ascii="仿宋" w:eastAsia="仿宋" w:hAnsi="仿宋" w:cs="仿宋"/>
          <w:sz w:val="32"/>
        </w:rPr>
        <w:t>.有关情况说明</w:t>
      </w:r>
    </w:p>
    <w:p w:rsidR="0047245A" w14:paraId="0E8CBB13" w14:textId="77777777">
      <w:pPr>
        <w:spacing w:line="600" w:lineRule="exact"/>
        <w:ind w:firstLine="640" w:firstLineChars="200"/>
        <w:jc w:val="left"/>
        <w:rPr>
          <w:rFonts w:ascii="仿宋" w:eastAsia="仿宋" w:hAnsi="仿宋" w:hint="eastAsia"/>
          <w:kern w:val="0"/>
          <w:sz w:val="32"/>
          <w:szCs w:val="32"/>
        </w:rPr>
      </w:pPr>
      <w:r>
        <w:rPr>
          <w:rFonts w:ascii="仿宋" w:eastAsia="仿宋" w:hAnsi="仿宋" w:hint="eastAsia"/>
          <w:kern w:val="0"/>
          <w:sz w:val="32"/>
          <w:szCs w:val="32"/>
        </w:rPr>
        <w:t>本单位无其他需要说明的绩效目标情况。</w:t>
      </w:r>
    </w:p>
    <w:p w:rsidR="0047245A" w:rsidP="001D091C" w14:paraId="47F180C6" w14:textId="77777777">
      <w:pPr>
        <w:pStyle w:val="Heading1"/>
        <w:spacing w:before="0" w:after="0"/>
      </w:pPr>
      <w:bookmarkStart w:id="23" w:name="_Toc20264"/>
      <w:r>
        <w:rPr>
          <w:rFonts w:hint="eastAsia"/>
        </w:rPr>
        <w:t>八、其他重要事项说明</w:t>
      </w:r>
      <w:bookmarkEnd w:id="23"/>
    </w:p>
    <w:p w:rsidR="0047245A" w14:paraId="16E6009A"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（一）机关运行经费</w:t>
      </w:r>
    </w:p>
    <w:p w:rsidR="0047245A" w14:paraId="10B1D12A" w14:textId="77777777">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年晋江市司法局一般公共预算拨款安排的机关运行经费支出</w:t>
      </w:r>
      <w:r>
        <w:rPr>
          <w:rFonts w:ascii="Times New Roman" w:eastAsia="Times New Roman" w:hAnsi="Times New Roman" w:cs="Times New Roman"/>
          <w:sz w:val="32"/>
        </w:rPr>
        <w:t>233.93</w:t>
      </w:r>
      <w:r>
        <w:rPr>
          <w:rFonts w:ascii="仿宋" w:eastAsia="仿宋" w:hAnsi="仿宋" w:cs="仿宋"/>
          <w:sz w:val="32"/>
        </w:rPr>
        <w:t>万元，比上年增加</w:t>
      </w:r>
      <w:r>
        <w:rPr>
          <w:rFonts w:ascii="Times New Roman" w:eastAsia="Times New Roman" w:hAnsi="Times New Roman" w:cs="Times New Roman"/>
          <w:sz w:val="32"/>
        </w:rPr>
        <w:t>6.11</w:t>
      </w:r>
      <w:r>
        <w:rPr>
          <w:rFonts w:ascii="仿宋" w:eastAsia="仿宋" w:hAnsi="仿宋" w:cs="仿宋"/>
          <w:sz w:val="32"/>
        </w:rPr>
        <w:t>万元，增长</w:t>
      </w:r>
      <w:r>
        <w:rPr>
          <w:rFonts w:ascii="Times New Roman" w:eastAsia="Times New Roman" w:hAnsi="Times New Roman" w:cs="Times New Roman"/>
          <w:sz w:val="32"/>
        </w:rPr>
        <w:t>2.68</w:t>
      </w:r>
      <w:r>
        <w:rPr>
          <w:rFonts w:ascii="仿宋" w:eastAsia="仿宋" w:hAnsi="仿宋" w:cs="仿宋"/>
          <w:sz w:val="32"/>
        </w:rPr>
        <w:t>%。主要原因是：</w:t>
      </w:r>
      <w:r>
        <w:rPr>
          <w:rFonts w:ascii="Times New Roman" w:eastAsia="Times New Roman" w:hAnsi="Times New Roman" w:cs="Times New Roman"/>
          <w:sz w:val="32"/>
        </w:rPr>
        <w:t>2024</w:t>
      </w:r>
      <w:r>
        <w:rPr>
          <w:rFonts w:ascii="仿宋" w:eastAsia="仿宋" w:hAnsi="仿宋" w:cs="仿宋"/>
          <w:sz w:val="32"/>
        </w:rPr>
        <w:t>年</w:t>
      </w:r>
      <w:r>
        <w:rPr>
          <w:rFonts w:ascii="Times New Roman" w:eastAsia="Times New Roman" w:hAnsi="Times New Roman" w:cs="Times New Roman"/>
          <w:sz w:val="32"/>
        </w:rPr>
        <w:t>7</w:t>
      </w:r>
      <w:r>
        <w:rPr>
          <w:rFonts w:ascii="仿宋" w:eastAsia="仿宋" w:hAnsi="仿宋" w:cs="仿宋"/>
          <w:sz w:val="32"/>
        </w:rPr>
        <w:t>月新考录公务员</w:t>
      </w:r>
      <w:r>
        <w:rPr>
          <w:rFonts w:ascii="Times New Roman" w:eastAsia="Times New Roman" w:hAnsi="Times New Roman" w:cs="Times New Roman"/>
          <w:sz w:val="32"/>
        </w:rPr>
        <w:t>1</w:t>
      </w:r>
      <w:r>
        <w:rPr>
          <w:rFonts w:ascii="仿宋" w:eastAsia="仿宋" w:hAnsi="仿宋" w:cs="仿宋"/>
          <w:sz w:val="32"/>
        </w:rPr>
        <w:t>名，本年定额公用经费等经费支出增加。</w:t>
      </w:r>
    </w:p>
    <w:p w:rsidR="0047245A" w14:paraId="10B1FB19"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（二）政府采购情况</w:t>
      </w:r>
    </w:p>
    <w:p w:rsidR="0047245A" w14:paraId="16FAA276" w14:textId="77777777">
      <w:pPr>
        <w:spacing w:line="600" w:lineRule="exact"/>
        <w:ind w:firstLine="640" w:firstLineChars="200"/>
        <w:jc w:val="left"/>
        <w:rPr>
          <w:rFonts w:ascii="仿宋" w:eastAsia="仿宋" w:hAnsi="仿宋" w:hint="eastAsia"/>
          <w:kern w:val="0"/>
          <w:sz w:val="32"/>
          <w:szCs w:val="32"/>
        </w:rPr>
      </w:pPr>
      <w:r>
        <w:rPr>
          <w:rFonts w:ascii="Times New Roman" w:eastAsia="Times New Roman" w:hAnsi="Times New Roman" w:cs="Times New Roman"/>
          <w:sz w:val="32"/>
        </w:rPr>
        <w:t>2025</w:t>
      </w:r>
      <w:r>
        <w:rPr>
          <w:rFonts w:ascii="仿宋" w:eastAsia="仿宋" w:hAnsi="仿宋" w:cs="仿宋"/>
          <w:sz w:val="32"/>
        </w:rPr>
        <w:t>年晋江市司法局政府采购预算总额</w:t>
      </w:r>
      <w:r>
        <w:rPr>
          <w:rFonts w:ascii="Times New Roman" w:eastAsia="Times New Roman" w:hAnsi="Times New Roman" w:cs="Times New Roman"/>
          <w:sz w:val="32"/>
        </w:rPr>
        <w:t>2.80</w:t>
      </w:r>
      <w:r>
        <w:rPr>
          <w:rFonts w:ascii="仿宋" w:eastAsia="仿宋" w:hAnsi="仿宋" w:cs="仿宋"/>
          <w:sz w:val="32"/>
        </w:rPr>
        <w:t>万元，其中：政府采购货物预算</w:t>
      </w:r>
      <w:r>
        <w:rPr>
          <w:rFonts w:ascii="Times New Roman" w:eastAsia="Times New Roman" w:hAnsi="Times New Roman" w:cs="Times New Roman"/>
          <w:sz w:val="32"/>
        </w:rPr>
        <w:t>2.80</w:t>
      </w:r>
      <w:r>
        <w:rPr>
          <w:rFonts w:ascii="仿宋" w:eastAsia="仿宋" w:hAnsi="仿宋" w:cs="仿宋"/>
          <w:sz w:val="32"/>
        </w:rPr>
        <w:t>万元、政府采购工程预算</w:t>
      </w:r>
      <w:r>
        <w:rPr>
          <w:rFonts w:ascii="Times New Roman" w:eastAsia="Times New Roman" w:hAnsi="Times New Roman" w:cs="Times New Roman"/>
          <w:sz w:val="32"/>
        </w:rPr>
        <w:t>0.00</w:t>
      </w:r>
      <w:r>
        <w:rPr>
          <w:rFonts w:ascii="仿宋" w:eastAsia="仿宋" w:hAnsi="仿宋" w:cs="仿宋"/>
          <w:sz w:val="32"/>
        </w:rPr>
        <w:t>万元、政府采购服务预算</w:t>
      </w:r>
      <w:r>
        <w:rPr>
          <w:rFonts w:ascii="Times New Roman" w:eastAsia="Times New Roman" w:hAnsi="Times New Roman" w:cs="Times New Roman"/>
          <w:sz w:val="32"/>
        </w:rPr>
        <w:t>0.00</w:t>
      </w:r>
      <w:r>
        <w:rPr>
          <w:rFonts w:ascii="仿宋" w:eastAsia="仿宋" w:hAnsi="仿宋" w:cs="仿宋"/>
          <w:sz w:val="32"/>
        </w:rPr>
        <w:t>万元。</w:t>
      </w:r>
    </w:p>
    <w:p w:rsidR="0047245A" w14:paraId="28373B12" w14:textId="77777777">
      <w:pPr>
        <w:spacing w:line="590" w:lineRule="exact"/>
        <w:ind w:firstLine="627" w:firstLineChars="196"/>
        <w:rPr>
          <w:rFonts w:ascii="楷体" w:eastAsia="楷体" w:hAnsi="楷体" w:hint="eastAsia"/>
          <w:b/>
          <w:sz w:val="32"/>
          <w:szCs w:val="32"/>
        </w:rPr>
      </w:pPr>
      <w:r>
        <w:rPr>
          <w:rFonts w:ascii="楷体" w:eastAsia="楷体" w:hAnsi="楷体" w:hint="eastAsia"/>
          <w:b/>
          <w:sz w:val="32"/>
          <w:szCs w:val="32"/>
        </w:rPr>
        <w:t>（三）国有资产占用使用情况</w:t>
      </w:r>
    </w:p>
    <w:p w:rsidR="0047245A" w14:paraId="69E1EFD6" w14:textId="77777777">
      <w:pPr>
        <w:spacing w:line="600" w:lineRule="exact"/>
        <w:ind w:firstLine="640" w:firstLineChars="200"/>
        <w:rPr>
          <w:rFonts w:ascii="仿宋" w:eastAsia="仿宋" w:hAnsi="仿宋" w:hint="eastAsia"/>
          <w:kern w:val="0"/>
          <w:sz w:val="32"/>
          <w:szCs w:val="32"/>
        </w:rPr>
      </w:pPr>
      <w:r>
        <w:rPr>
          <w:rFonts w:ascii="仿宋" w:eastAsia="仿宋" w:hAnsi="仿宋" w:cs="仿宋"/>
          <w:sz w:val="32"/>
        </w:rPr>
        <w:t>截至</w:t>
      </w:r>
      <w:r>
        <w:rPr>
          <w:rFonts w:ascii="Times New Roman" w:eastAsia="Times New Roman" w:hAnsi="Times New Roman" w:cs="Times New Roman"/>
          <w:sz w:val="32"/>
        </w:rPr>
        <w:t>2024</w:t>
      </w:r>
      <w:r>
        <w:rPr>
          <w:rFonts w:ascii="仿宋" w:eastAsia="仿宋" w:hAnsi="仿宋" w:cs="仿宋"/>
          <w:sz w:val="32"/>
        </w:rPr>
        <w:t>年</w:t>
      </w:r>
      <w:r>
        <w:rPr>
          <w:rFonts w:ascii="Times New Roman" w:eastAsia="Times New Roman" w:hAnsi="Times New Roman" w:cs="Times New Roman"/>
          <w:sz w:val="32"/>
        </w:rPr>
        <w:t>12</w:t>
      </w:r>
      <w:r>
        <w:rPr>
          <w:rFonts w:ascii="仿宋" w:eastAsia="仿宋" w:hAnsi="仿宋" w:cs="仿宋"/>
          <w:sz w:val="32"/>
        </w:rPr>
        <w:t>月</w:t>
      </w:r>
      <w:r>
        <w:rPr>
          <w:rFonts w:ascii="Times New Roman" w:eastAsia="Times New Roman" w:hAnsi="Times New Roman" w:cs="Times New Roman"/>
          <w:sz w:val="32"/>
        </w:rPr>
        <w:t>31</w:t>
      </w:r>
      <w:r>
        <w:rPr>
          <w:rFonts w:ascii="仿宋" w:eastAsia="仿宋" w:hAnsi="仿宋" w:cs="仿宋"/>
          <w:sz w:val="32"/>
        </w:rPr>
        <w:t>日，晋江市司法局共有车辆</w:t>
      </w:r>
      <w:r>
        <w:rPr>
          <w:rFonts w:ascii="Times New Roman" w:eastAsia="Times New Roman" w:hAnsi="Times New Roman" w:cs="Times New Roman"/>
          <w:sz w:val="32"/>
        </w:rPr>
        <w:t>3</w:t>
      </w:r>
      <w:r>
        <w:rPr>
          <w:rFonts w:ascii="仿宋" w:eastAsia="仿宋" w:hAnsi="仿宋" w:cs="仿宋"/>
          <w:sz w:val="32"/>
        </w:rPr>
        <w:t>辆，其中：省部级领导干部用车</w:t>
      </w:r>
      <w:r>
        <w:rPr>
          <w:rFonts w:ascii="Times New Roman" w:eastAsia="Times New Roman" w:hAnsi="Times New Roman" w:cs="Times New Roman"/>
          <w:sz w:val="32"/>
        </w:rPr>
        <w:t>0</w:t>
      </w:r>
      <w:r>
        <w:rPr>
          <w:rFonts w:ascii="仿宋" w:eastAsia="仿宋" w:hAnsi="仿宋" w:cs="仿宋"/>
          <w:sz w:val="32"/>
        </w:rPr>
        <w:t>辆、机要通信用车</w:t>
      </w:r>
      <w:r>
        <w:rPr>
          <w:rFonts w:ascii="Times New Roman" w:eastAsia="Times New Roman" w:hAnsi="Times New Roman" w:cs="Times New Roman"/>
          <w:sz w:val="32"/>
        </w:rPr>
        <w:t>0</w:t>
      </w:r>
      <w:r>
        <w:rPr>
          <w:rFonts w:ascii="仿宋" w:eastAsia="仿宋" w:hAnsi="仿宋" w:cs="仿宋"/>
          <w:sz w:val="32"/>
        </w:rPr>
        <w:t>辆、应急保障用车</w:t>
      </w:r>
      <w:r>
        <w:rPr>
          <w:rFonts w:ascii="Times New Roman" w:eastAsia="Times New Roman" w:hAnsi="Times New Roman" w:cs="Times New Roman"/>
          <w:sz w:val="32"/>
        </w:rPr>
        <w:t>0</w:t>
      </w:r>
      <w:r>
        <w:rPr>
          <w:rFonts w:ascii="仿宋" w:eastAsia="仿宋" w:hAnsi="仿宋" w:cs="仿宋"/>
          <w:sz w:val="32"/>
        </w:rPr>
        <w:t>辆，执法执勤用车</w:t>
      </w:r>
      <w:r>
        <w:rPr>
          <w:rFonts w:ascii="Times New Roman" w:eastAsia="Times New Roman" w:hAnsi="Times New Roman" w:cs="Times New Roman"/>
          <w:sz w:val="32"/>
        </w:rPr>
        <w:t>3</w:t>
      </w:r>
      <w:r>
        <w:rPr>
          <w:rFonts w:ascii="仿宋" w:eastAsia="仿宋" w:hAnsi="仿宋" w:cs="仿宋"/>
          <w:sz w:val="32"/>
        </w:rPr>
        <w:t>辆，特种专业技术用车</w:t>
      </w:r>
      <w:r>
        <w:rPr>
          <w:rFonts w:ascii="Times New Roman" w:eastAsia="Times New Roman" w:hAnsi="Times New Roman" w:cs="Times New Roman"/>
          <w:sz w:val="32"/>
        </w:rPr>
        <w:t>0</w:t>
      </w:r>
      <w:r>
        <w:rPr>
          <w:rFonts w:ascii="仿宋" w:eastAsia="仿宋" w:hAnsi="仿宋" w:cs="仿宋"/>
          <w:sz w:val="32"/>
        </w:rPr>
        <w:t>辆，其他用车</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1BBADDD4" w14:textId="77777777">
      <w:pPr>
        <w:widowControl/>
        <w:adjustRightInd w:val="0"/>
        <w:snapToGrid w:val="0"/>
        <w:spacing w:line="600" w:lineRule="exact"/>
        <w:ind w:firstLine="660"/>
        <w:rPr>
          <w:rFonts w:ascii="仿宋" w:eastAsia="仿宋" w:hAnsi="仿宋" w:cs="仿宋_GB2312" w:hint="eastAsia"/>
          <w:kern w:val="0"/>
          <w:sz w:val="32"/>
          <w:szCs w:val="32"/>
        </w:rPr>
        <w:sectPr w:rsidSect="00485CB9">
          <w:pgSz w:w="11906" w:h="16838"/>
          <w:pgMar w:top="1440" w:right="1797" w:bottom="1440" w:left="1797" w:header="851" w:footer="992" w:gutter="0"/>
          <w:cols w:space="425"/>
          <w:docGrid w:type="lines" w:linePitch="312"/>
        </w:sectPr>
      </w:pPr>
      <w:r>
        <w:rPr>
          <w:rFonts w:ascii="Times New Roman" w:eastAsia="Times New Roman" w:hAnsi="Times New Roman" w:cs="Times New Roman"/>
          <w:sz w:val="32"/>
        </w:rPr>
        <w:t>2025</w:t>
      </w:r>
      <w:r>
        <w:rPr>
          <w:rFonts w:ascii="仿宋" w:eastAsia="仿宋" w:hAnsi="仿宋" w:cs="仿宋"/>
          <w:sz w:val="32"/>
        </w:rPr>
        <w:t>年部门预算安排购置车辆</w:t>
      </w:r>
      <w:r>
        <w:rPr>
          <w:rFonts w:ascii="Times New Roman" w:eastAsia="Times New Roman" w:hAnsi="Times New Roman" w:cs="Times New Roman"/>
          <w:sz w:val="32"/>
        </w:rPr>
        <w:t>0</w:t>
      </w:r>
      <w:r>
        <w:rPr>
          <w:rFonts w:ascii="仿宋" w:eastAsia="仿宋" w:hAnsi="仿宋" w:cs="仿宋"/>
          <w:sz w:val="32"/>
        </w:rPr>
        <w:t>辆，单位价值</w:t>
      </w:r>
      <w:r>
        <w:rPr>
          <w:rFonts w:ascii="Times New Roman" w:eastAsia="Times New Roman" w:hAnsi="Times New Roman" w:cs="Times New Roman"/>
          <w:sz w:val="32"/>
        </w:rPr>
        <w:t>100</w:t>
      </w:r>
      <w:r>
        <w:rPr>
          <w:rFonts w:ascii="仿宋" w:eastAsia="仿宋" w:hAnsi="仿宋" w:cs="仿宋"/>
          <w:sz w:val="32"/>
        </w:rPr>
        <w:t>万元（含）以上设备</w:t>
      </w:r>
      <w:r>
        <w:rPr>
          <w:rFonts w:ascii="Times New Roman" w:eastAsia="Times New Roman" w:hAnsi="Times New Roman" w:cs="Times New Roman"/>
          <w:sz w:val="32"/>
        </w:rPr>
        <w:t>0</w:t>
      </w:r>
      <w:r>
        <w:rPr>
          <w:rFonts w:ascii="仿宋" w:eastAsia="仿宋" w:hAnsi="仿宋" w:cs="仿宋"/>
          <w:sz w:val="32"/>
        </w:rPr>
        <w:t>台（套）。</w:t>
      </w:r>
    </w:p>
    <w:p w:rsidR="0047245A" w14:paraId="6ADCD5DF" w14:textId="77777777">
      <w:pPr>
        <w:spacing w:line="600" w:lineRule="exact"/>
        <w:jc w:val="left"/>
        <w:rPr>
          <w:rFonts w:ascii="仿宋" w:eastAsia="仿宋" w:hAnsi="仿宋" w:hint="eastAsia"/>
          <w:kern w:val="0"/>
          <w:sz w:val="32"/>
          <w:szCs w:val="32"/>
        </w:rPr>
      </w:pPr>
    </w:p>
    <w:p w:rsidR="0047245A" w14:paraId="3505AD45" w14:textId="77777777">
      <w:pPr>
        <w:jc w:val="center"/>
        <w:rPr>
          <w:rFonts w:ascii="黑体" w:eastAsia="黑体" w:hAnsi="黑体" w:hint="eastAsia"/>
          <w:sz w:val="56"/>
        </w:rPr>
      </w:pPr>
    </w:p>
    <w:p w:rsidR="0047245A" w14:paraId="35D50137" w14:textId="77777777">
      <w:pPr>
        <w:jc w:val="center"/>
        <w:rPr>
          <w:rFonts w:ascii="黑体" w:eastAsia="黑体" w:hAnsi="黑体" w:hint="eastAsia"/>
          <w:sz w:val="56"/>
        </w:rPr>
      </w:pPr>
    </w:p>
    <w:p w:rsidR="0047245A" w14:paraId="479C69F4" w14:textId="77777777">
      <w:pPr>
        <w:jc w:val="center"/>
        <w:rPr>
          <w:rFonts w:ascii="黑体" w:eastAsia="黑体" w:hAnsi="黑体" w:hint="eastAsia"/>
          <w:sz w:val="56"/>
        </w:rPr>
      </w:pPr>
    </w:p>
    <w:p w:rsidR="0047245A" w14:paraId="5699A0B6" w14:textId="77777777">
      <w:pPr>
        <w:jc w:val="center"/>
        <w:rPr>
          <w:rFonts w:ascii="黑体" w:eastAsia="黑体" w:hAnsi="黑体" w:hint="eastAsia"/>
          <w:sz w:val="56"/>
        </w:rPr>
      </w:pPr>
    </w:p>
    <w:p w:rsidR="0047245A" w14:paraId="5EB7559C" w14:textId="77777777">
      <w:pPr>
        <w:jc w:val="center"/>
        <w:rPr>
          <w:rFonts w:ascii="黑体" w:eastAsia="黑体" w:hAnsi="黑体" w:hint="eastAsia"/>
          <w:sz w:val="56"/>
        </w:rPr>
      </w:pPr>
    </w:p>
    <w:p w:rsidR="0047245A" w14:paraId="3A5C264D" w14:textId="77777777">
      <w:pPr>
        <w:jc w:val="left"/>
        <w:rPr>
          <w:rFonts w:ascii="黑体" w:eastAsia="黑体" w:hAnsi="黑体" w:hint="eastAsia"/>
          <w:sz w:val="56"/>
        </w:rPr>
      </w:pPr>
      <w:r>
        <w:rPr>
          <w:rFonts w:ascii="黑体" w:eastAsia="黑体" w:hAnsi="黑体" w:hint="eastAsia"/>
          <w:sz w:val="56"/>
        </w:rPr>
        <w:t>第四部分</w:t>
      </w:r>
      <w:r>
        <w:rPr>
          <w:rFonts w:ascii="黑体" w:eastAsia="黑体" w:hAnsi="黑体"/>
          <w:sz w:val="56"/>
        </w:rPr>
        <w:t xml:space="preserve"> </w:t>
      </w:r>
    </w:p>
    <w:p w:rsidR="0047245A" w14:paraId="7C362FA3" w14:textId="77777777">
      <w:pPr>
        <w:pStyle w:val="Heading1"/>
        <w:jc w:val="center"/>
        <w:rPr>
          <w:rFonts w:ascii="黑体" w:hAnsi="黑体" w:hint="eastAsia"/>
          <w:b w:val="0"/>
          <w:bCs/>
          <w:sz w:val="56"/>
          <w:szCs w:val="36"/>
        </w:rPr>
      </w:pPr>
      <w:bookmarkStart w:id="24" w:name="_Toc26473"/>
      <w:r>
        <w:rPr>
          <w:rFonts w:ascii="黑体" w:hAnsi="黑体" w:hint="eastAsia"/>
          <w:b w:val="0"/>
          <w:bCs/>
          <w:sz w:val="56"/>
          <w:szCs w:val="36"/>
        </w:rPr>
        <w:t>名词解释</w:t>
      </w:r>
      <w:bookmarkEnd w:id="24"/>
    </w:p>
    <w:p w:rsidR="0047245A" w14:paraId="45CE6DFC" w14:textId="77777777">
      <w:pPr>
        <w:adjustRightInd w:val="0"/>
        <w:snapToGrid w:val="0"/>
        <w:spacing w:line="600" w:lineRule="exact"/>
        <w:jc w:val="left"/>
        <w:rPr>
          <w:rFonts w:asciiTheme="majorEastAsia" w:eastAsiaTheme="majorEastAsia" w:hAnsiTheme="majorEastAsia" w:hint="eastAsia"/>
          <w:b/>
          <w:sz w:val="40"/>
        </w:rPr>
      </w:pPr>
    </w:p>
    <w:p w:rsidR="0047245A" w14:paraId="1B5E3A6F" w14:textId="77777777">
      <w:pPr>
        <w:adjustRightInd w:val="0"/>
        <w:snapToGrid w:val="0"/>
        <w:spacing w:line="600" w:lineRule="exact"/>
        <w:jc w:val="left"/>
        <w:rPr>
          <w:rFonts w:ascii="仿宋" w:eastAsia="仿宋" w:hAnsi="仿宋" w:cs="仿宋_GB2312" w:hint="eastAsia"/>
          <w:kern w:val="0"/>
          <w:sz w:val="32"/>
          <w:szCs w:val="32"/>
        </w:rPr>
        <w:sectPr w:rsidSect="00485CB9">
          <w:pgSz w:w="11906" w:h="16838"/>
          <w:pgMar w:top="1440" w:right="1797" w:bottom="1440" w:left="1797" w:header="851" w:footer="992" w:gutter="0"/>
          <w:cols w:space="425"/>
          <w:docGrid w:type="lines" w:linePitch="312"/>
        </w:sectPr>
      </w:pPr>
    </w:p>
    <w:p w:rsidR="0047245A" w14:paraId="08F47EA8" w14:textId="77777777">
      <w:pPr>
        <w:spacing w:line="276" w:lineRule="auto"/>
        <w:jc w:val="center"/>
        <w:rPr>
          <w:rFonts w:asciiTheme="majorEastAsia" w:eastAsiaTheme="majorEastAsia" w:hAnsiTheme="majorEastAsia" w:hint="eastAsia"/>
          <w:b/>
          <w:sz w:val="40"/>
        </w:rPr>
      </w:pPr>
      <w:r>
        <w:rPr>
          <w:rFonts w:asciiTheme="majorEastAsia" w:eastAsiaTheme="majorEastAsia" w:hAnsiTheme="majorEastAsia" w:hint="eastAsia"/>
          <w:b/>
          <w:sz w:val="40"/>
        </w:rPr>
        <w:t>名词解释</w:t>
      </w:r>
    </w:p>
    <w:p w:rsidR="0047245A" w14:paraId="26ABADB4"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r>
        <w:rPr>
          <w:rFonts w:ascii="仿宋" w:eastAsia="仿宋" w:hAnsi="仿宋" w:cs="仿宋"/>
          <w:color w:val="000000"/>
          <w:kern w:val="0"/>
          <w:sz w:val="32"/>
          <w:szCs w:val="32"/>
        </w:rPr>
        <w:t xml:space="preserve"> </w:t>
      </w:r>
    </w:p>
    <w:p w:rsidR="0047245A" w14:paraId="23338E7C"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47245A" w14:paraId="0BEDF874"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47245A" w14:paraId="43611F9B" w14:textId="77777777">
      <w:pPr>
        <w:spacing w:line="600" w:lineRule="exact"/>
        <w:ind w:firstLine="707" w:firstLineChars="221"/>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r>
        <w:rPr>
          <w:rFonts w:ascii="仿宋" w:eastAsia="仿宋" w:hAnsi="仿宋" w:cs="仿宋"/>
          <w:color w:val="000000"/>
          <w:kern w:val="0"/>
          <w:sz w:val="32"/>
          <w:szCs w:val="32"/>
        </w:rPr>
        <w:t xml:space="preserve"> </w:t>
      </w:r>
    </w:p>
    <w:p w:rsidR="0047245A" w14:paraId="00065042" w14:textId="77777777">
      <w:pPr>
        <w:spacing w:line="600" w:lineRule="exact"/>
        <w:ind w:firstLine="640" w:firstLineChars="200"/>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rsidR="0047245A" w14:paraId="0D41AA61" w14:textId="77777777">
      <w:pPr>
        <w:pStyle w:val="Default"/>
        <w:spacing w:line="600" w:lineRule="exact"/>
        <w:ind w:firstLine="640"/>
        <w:rPr>
          <w:rFonts w:hAnsi="仿宋" w:hint="eastAsia"/>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r>
        <w:rPr>
          <w:rFonts w:hAnsi="仿宋"/>
          <w:sz w:val="32"/>
          <w:szCs w:val="32"/>
        </w:rPr>
        <w:t xml:space="preserve"> </w:t>
      </w:r>
    </w:p>
    <w:p w:rsidR="0047245A" w14:paraId="2B31F9C6" w14:textId="77777777">
      <w:pPr>
        <w:pStyle w:val="Default"/>
        <w:spacing w:line="600" w:lineRule="exact"/>
        <w:ind w:firstLine="640"/>
        <w:rPr>
          <w:rFonts w:hAnsi="仿宋" w:hint="eastAsia"/>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r>
        <w:rPr>
          <w:rFonts w:hAnsi="仿宋"/>
          <w:sz w:val="32"/>
          <w:szCs w:val="32"/>
        </w:rPr>
        <w:t xml:space="preserve"> </w:t>
      </w:r>
    </w:p>
    <w:p w:rsidR="0047245A" w14:paraId="3747DA58" w14:textId="77777777">
      <w:pPr>
        <w:pStyle w:val="Default"/>
        <w:spacing w:line="600" w:lineRule="exact"/>
        <w:ind w:firstLine="640"/>
        <w:rPr>
          <w:rFonts w:hAnsi="仿宋" w:hint="eastAsia"/>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r>
        <w:rPr>
          <w:rFonts w:hAnsi="仿宋"/>
          <w:sz w:val="32"/>
          <w:szCs w:val="32"/>
        </w:rPr>
        <w:t xml:space="preserve"> </w:t>
      </w:r>
    </w:p>
    <w:p w:rsidR="0047245A" w14:paraId="5A90392F" w14:textId="77777777">
      <w:pPr>
        <w:pStyle w:val="Default"/>
        <w:spacing w:line="600" w:lineRule="exact"/>
        <w:ind w:firstLine="640"/>
        <w:rPr>
          <w:rFonts w:hAnsi="仿宋" w:hint="eastAsia"/>
          <w:sz w:val="32"/>
          <w:szCs w:val="32"/>
        </w:rPr>
      </w:pPr>
      <w:r>
        <w:rPr>
          <w:rFonts w:hAnsi="仿宋" w:hint="eastAsia"/>
          <w:b/>
          <w:sz w:val="32"/>
          <w:szCs w:val="32"/>
        </w:rPr>
        <w:t>九、上缴上级支出：</w:t>
      </w:r>
      <w:r>
        <w:rPr>
          <w:rFonts w:hAnsi="仿宋" w:hint="eastAsia"/>
          <w:sz w:val="32"/>
          <w:szCs w:val="32"/>
        </w:rPr>
        <w:t>指下级单位上缴上级的支出。</w:t>
      </w:r>
    </w:p>
    <w:p w:rsidR="0047245A" w14:paraId="69EEAA65" w14:textId="221109A7">
      <w:pPr>
        <w:pStyle w:val="Default"/>
        <w:spacing w:line="600" w:lineRule="exact"/>
        <w:ind w:firstLine="640"/>
        <w:rPr>
          <w:rFonts w:hAnsi="仿宋" w:hint="eastAsia"/>
          <w:sz w:val="32"/>
          <w:szCs w:val="32"/>
        </w:rPr>
      </w:pPr>
      <w:r>
        <w:rPr>
          <w:rFonts w:hAnsi="仿宋" w:hint="eastAsia"/>
          <w:b/>
          <w:sz w:val="32"/>
          <w:szCs w:val="32"/>
        </w:rPr>
        <w:t>十、对附属单位补助支出：</w:t>
      </w:r>
      <w:r>
        <w:rPr>
          <w:rFonts w:hAnsi="仿宋" w:hint="eastAsia"/>
          <w:sz w:val="32"/>
          <w:szCs w:val="32"/>
        </w:rPr>
        <w:t>指对下级单位补助</w:t>
      </w:r>
      <w:r w:rsidR="00091264">
        <w:rPr>
          <w:rFonts w:hAnsi="仿宋" w:hint="eastAsia"/>
          <w:sz w:val="32"/>
          <w:szCs w:val="32"/>
        </w:rPr>
        <w:t>发生</w:t>
      </w:r>
      <w:r>
        <w:rPr>
          <w:rFonts w:hAnsi="仿宋" w:hint="eastAsia"/>
          <w:sz w:val="32"/>
          <w:szCs w:val="32"/>
        </w:rPr>
        <w:t>的支出。</w:t>
      </w:r>
    </w:p>
    <w:p w:rsidR="0047245A" w14:paraId="040BDB3B" w14:textId="77777777">
      <w:pPr>
        <w:pStyle w:val="Default"/>
        <w:spacing w:line="600" w:lineRule="exact"/>
        <w:ind w:firstLine="640"/>
        <w:rPr>
          <w:rFonts w:hAnsi="仿宋" w:hint="eastAsia"/>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w:t>
      </w:r>
      <w:r>
        <w:rPr>
          <w:rFonts w:hAnsi="仿宋" w:hint="eastAsia"/>
          <w:sz w:val="32"/>
          <w:szCs w:val="32"/>
        </w:rPr>
        <w:t>费反映</w:t>
      </w:r>
      <w:r>
        <w:rPr>
          <w:rFonts w:hAnsi="仿宋" w:hint="eastAsia"/>
          <w:sz w:val="32"/>
          <w:szCs w:val="32"/>
        </w:rPr>
        <w:t>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w:t>
      </w:r>
      <w:r>
        <w:rPr>
          <w:rFonts w:hAnsi="仿宋" w:hint="eastAsia"/>
          <w:sz w:val="32"/>
          <w:szCs w:val="32"/>
        </w:rPr>
        <w:t>购置税、牌照费</w:t>
      </w:r>
      <w:r>
        <w:rPr>
          <w:rFonts w:hAnsi="仿宋"/>
          <w:sz w:val="32"/>
          <w:szCs w:val="32"/>
        </w:rPr>
        <w:t>)</w:t>
      </w:r>
      <w:r>
        <w:rPr>
          <w:rFonts w:hAnsi="仿宋" w:hint="eastAsia"/>
          <w:sz w:val="32"/>
          <w:szCs w:val="32"/>
        </w:rPr>
        <w:t>及燃料费、维修费、过桥过路费、保险费、安全奖励费用等支出；公务接待</w:t>
      </w:r>
      <w:r>
        <w:rPr>
          <w:rFonts w:hAnsi="仿宋" w:hint="eastAsia"/>
          <w:sz w:val="32"/>
          <w:szCs w:val="32"/>
        </w:rPr>
        <w:t>费反映</w:t>
      </w:r>
      <w:r>
        <w:rPr>
          <w:rFonts w:hAnsi="仿宋" w:hint="eastAsia"/>
          <w:sz w:val="32"/>
          <w:szCs w:val="32"/>
        </w:rPr>
        <w:t>单位按规定开支的各类公务接待（含外宾接待）支出。</w:t>
      </w:r>
      <w:r>
        <w:rPr>
          <w:rFonts w:hAnsi="仿宋"/>
          <w:sz w:val="32"/>
          <w:szCs w:val="32"/>
        </w:rPr>
        <w:t xml:space="preserve"> </w:t>
      </w:r>
    </w:p>
    <w:p w:rsidR="0047245A" w14:paraId="55E6278C" w14:textId="77777777">
      <w:pPr>
        <w:ind w:firstLine="640" w:firstLineChars="200"/>
        <w:jc w:val="left"/>
        <w:rPr>
          <w:rFonts w:asciiTheme="majorEastAsia" w:eastAsiaTheme="majorEastAsia" w:hAnsiTheme="majorEastAsia" w:hint="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7245A" w14:paraId="7987F9C7" w14:textId="77777777">
      <w:pPr>
        <w:ind w:firstLine="800" w:firstLineChars="200"/>
        <w:jc w:val="left"/>
        <w:rPr>
          <w:rFonts w:asciiTheme="majorEastAsia" w:eastAsiaTheme="majorEastAsia" w:hAnsiTheme="majorEastAsia" w:hint="eastAsia"/>
          <w:b/>
          <w:sz w:val="40"/>
        </w:rPr>
      </w:pPr>
    </w:p>
    <w:sectPr>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137C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2F668C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5151168E" w14:textId="77777777">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8670048"/>
                            <w:richText/>
                          </w:sdtPr>
                          <w:sdtEndPr>
                            <w:rPr>
                              <w:rFonts w:asciiTheme="minorEastAsia" w:hAnsiTheme="minorEastAsia"/>
                              <w:sz w:val="20"/>
                            </w:rPr>
                          </w:sdtEndPr>
                          <w:sdtContent>
                            <w:p w:rsidR="0047245A" w14:textId="77777777">
                              <w:pPr>
                                <w:pStyle w:val="Footer"/>
                                <w:jc w:val="center"/>
                                <w:rPr>
                                  <w:rFonts w:asciiTheme="minorEastAsia" w:hAnsiTheme="minorEastAsia" w:hint="eastAsia"/>
                                  <w:sz w:val="20"/>
                                </w:rPr>
                              </w:pPr>
                              <w:r>
                                <w:fldChar w:fldCharType="begin"/>
                              </w:r>
                              <w:r>
                                <w:instrText>PAGE   \* MERGEFORMAT</w:instrText>
                              </w:r>
                              <w:r>
                                <w:fldChar w:fldCharType="separate"/>
                              </w:r>
                              <w:r>
                                <w:rPr>
                                  <w:rFonts w:asciiTheme="minorEastAsia" w:hAnsiTheme="minorEastAsia"/>
                                  <w:sz w:val="20"/>
                                  <w:lang w:val="zh-CN"/>
                                </w:rPr>
                                <w:t>34</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sdt>
                    <w:sdtPr>
                      <w:id w:val="91375475"/>
                      <w:richText/>
                    </w:sdtPr>
                    <w:sdtEndPr>
                      <w:rPr>
                        <w:rFonts w:asciiTheme="minorEastAsia" w:hAnsiTheme="minorEastAsia"/>
                        <w:sz w:val="20"/>
                      </w:rPr>
                    </w:sdtEndPr>
                    <w:sdtContent>
                      <w:p w:rsidR="0047245A" w14:paraId="13C47CAF" w14:textId="77777777">
                        <w:pPr>
                          <w:pStyle w:val="Footer"/>
                          <w:jc w:val="center"/>
                          <w:rPr>
                            <w:rFonts w:asciiTheme="minorEastAsia" w:hAnsiTheme="minorEastAsia" w:hint="eastAsia"/>
                            <w:sz w:val="20"/>
                          </w:rPr>
                        </w:pPr>
                        <w:r>
                          <w:fldChar w:fldCharType="begin"/>
                        </w:r>
                        <w:r>
                          <w:instrText>PAGE   \* MERGEFORMAT</w:instrText>
                        </w:r>
                        <w:r>
                          <w:fldChar w:fldCharType="separate"/>
                        </w:r>
                        <w:r>
                          <w:rPr>
                            <w:rFonts w:asciiTheme="minorEastAsia" w:hAnsiTheme="minorEastAsia"/>
                            <w:sz w:val="20"/>
                            <w:lang w:val="zh-CN"/>
                          </w:rPr>
                          <w:t>34</w:t>
                        </w:r>
                        <w:r>
                          <w:fldChar w:fldCharType="end"/>
                        </w:r>
                      </w:p>
                    </w:sdtContent>
                  </w:sdt>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1899CAC0"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45A" w14:paraId="35006F15"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4258A2"/>
    <w:multiLevelType w:val="multilevel"/>
    <w:tmpl w:val="574258A2"/>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76093"/>
    <w:rsid w:val="0000246C"/>
    <w:rsid w:val="000038E2"/>
    <w:rsid w:val="00003DBA"/>
    <w:rsid w:val="00004CE1"/>
    <w:rsid w:val="000058F3"/>
    <w:rsid w:val="00005C0C"/>
    <w:rsid w:val="00006788"/>
    <w:rsid w:val="00011BAB"/>
    <w:rsid w:val="00013CE8"/>
    <w:rsid w:val="000141D9"/>
    <w:rsid w:val="00020C2F"/>
    <w:rsid w:val="00020D40"/>
    <w:rsid w:val="0002112A"/>
    <w:rsid w:val="00023374"/>
    <w:rsid w:val="0002379A"/>
    <w:rsid w:val="000260BC"/>
    <w:rsid w:val="000264F0"/>
    <w:rsid w:val="0002698C"/>
    <w:rsid w:val="0003089A"/>
    <w:rsid w:val="0003193F"/>
    <w:rsid w:val="00032190"/>
    <w:rsid w:val="000403E3"/>
    <w:rsid w:val="000417EF"/>
    <w:rsid w:val="00042262"/>
    <w:rsid w:val="00046E11"/>
    <w:rsid w:val="00055873"/>
    <w:rsid w:val="0005676E"/>
    <w:rsid w:val="00056CD4"/>
    <w:rsid w:val="0005716F"/>
    <w:rsid w:val="00060883"/>
    <w:rsid w:val="00060B63"/>
    <w:rsid w:val="0006186A"/>
    <w:rsid w:val="00063D5C"/>
    <w:rsid w:val="000644C5"/>
    <w:rsid w:val="00065049"/>
    <w:rsid w:val="00065622"/>
    <w:rsid w:val="00072DDD"/>
    <w:rsid w:val="00076C7F"/>
    <w:rsid w:val="000779D3"/>
    <w:rsid w:val="00080F13"/>
    <w:rsid w:val="00083310"/>
    <w:rsid w:val="000843A8"/>
    <w:rsid w:val="00091264"/>
    <w:rsid w:val="00093534"/>
    <w:rsid w:val="000958F1"/>
    <w:rsid w:val="00096A6E"/>
    <w:rsid w:val="000A0138"/>
    <w:rsid w:val="000A090F"/>
    <w:rsid w:val="000A2980"/>
    <w:rsid w:val="000A3D22"/>
    <w:rsid w:val="000A3D93"/>
    <w:rsid w:val="000B2223"/>
    <w:rsid w:val="000B557D"/>
    <w:rsid w:val="000B5F12"/>
    <w:rsid w:val="000B6286"/>
    <w:rsid w:val="000B790C"/>
    <w:rsid w:val="000B7BA4"/>
    <w:rsid w:val="000C2EA1"/>
    <w:rsid w:val="000C3250"/>
    <w:rsid w:val="000D1168"/>
    <w:rsid w:val="000D1799"/>
    <w:rsid w:val="000D2672"/>
    <w:rsid w:val="000D48A1"/>
    <w:rsid w:val="000D5C6D"/>
    <w:rsid w:val="000D755B"/>
    <w:rsid w:val="000D79EA"/>
    <w:rsid w:val="000E2E6C"/>
    <w:rsid w:val="000E39D0"/>
    <w:rsid w:val="000E5683"/>
    <w:rsid w:val="000E57C3"/>
    <w:rsid w:val="000E5E7F"/>
    <w:rsid w:val="000F07D8"/>
    <w:rsid w:val="000F16B6"/>
    <w:rsid w:val="000F7E75"/>
    <w:rsid w:val="00102736"/>
    <w:rsid w:val="00104B85"/>
    <w:rsid w:val="0011271A"/>
    <w:rsid w:val="0011286D"/>
    <w:rsid w:val="00114A76"/>
    <w:rsid w:val="00115195"/>
    <w:rsid w:val="00116869"/>
    <w:rsid w:val="00120C36"/>
    <w:rsid w:val="00121977"/>
    <w:rsid w:val="00122671"/>
    <w:rsid w:val="0012290B"/>
    <w:rsid w:val="00122F42"/>
    <w:rsid w:val="00124AB1"/>
    <w:rsid w:val="001273B5"/>
    <w:rsid w:val="00127830"/>
    <w:rsid w:val="00135D67"/>
    <w:rsid w:val="001430EE"/>
    <w:rsid w:val="001434A6"/>
    <w:rsid w:val="00147652"/>
    <w:rsid w:val="00152866"/>
    <w:rsid w:val="00153C9D"/>
    <w:rsid w:val="0015688E"/>
    <w:rsid w:val="00162FAA"/>
    <w:rsid w:val="001704E6"/>
    <w:rsid w:val="00170AAB"/>
    <w:rsid w:val="0017398D"/>
    <w:rsid w:val="00174307"/>
    <w:rsid w:val="001773A6"/>
    <w:rsid w:val="001816CB"/>
    <w:rsid w:val="001865C1"/>
    <w:rsid w:val="00186F1B"/>
    <w:rsid w:val="00187847"/>
    <w:rsid w:val="001916B0"/>
    <w:rsid w:val="001924E0"/>
    <w:rsid w:val="00192676"/>
    <w:rsid w:val="001926CF"/>
    <w:rsid w:val="00194C64"/>
    <w:rsid w:val="001960BA"/>
    <w:rsid w:val="001962FD"/>
    <w:rsid w:val="00196648"/>
    <w:rsid w:val="00196FF1"/>
    <w:rsid w:val="00197139"/>
    <w:rsid w:val="00197504"/>
    <w:rsid w:val="001A0B13"/>
    <w:rsid w:val="001A0E31"/>
    <w:rsid w:val="001A2337"/>
    <w:rsid w:val="001A25EF"/>
    <w:rsid w:val="001A28D2"/>
    <w:rsid w:val="001A3C4B"/>
    <w:rsid w:val="001A6BC0"/>
    <w:rsid w:val="001A7BE3"/>
    <w:rsid w:val="001B21B3"/>
    <w:rsid w:val="001B2B1B"/>
    <w:rsid w:val="001B3282"/>
    <w:rsid w:val="001B4DC1"/>
    <w:rsid w:val="001B4E8D"/>
    <w:rsid w:val="001B6339"/>
    <w:rsid w:val="001B761D"/>
    <w:rsid w:val="001C7903"/>
    <w:rsid w:val="001D091C"/>
    <w:rsid w:val="001D0E09"/>
    <w:rsid w:val="001D14D1"/>
    <w:rsid w:val="001D29A1"/>
    <w:rsid w:val="001D5493"/>
    <w:rsid w:val="001D6E07"/>
    <w:rsid w:val="001D7ED0"/>
    <w:rsid w:val="001E156E"/>
    <w:rsid w:val="001E28B6"/>
    <w:rsid w:val="001E504B"/>
    <w:rsid w:val="001E544F"/>
    <w:rsid w:val="00200CE7"/>
    <w:rsid w:val="00204E35"/>
    <w:rsid w:val="00205474"/>
    <w:rsid w:val="0021062D"/>
    <w:rsid w:val="0021456E"/>
    <w:rsid w:val="00216DFE"/>
    <w:rsid w:val="00220BD8"/>
    <w:rsid w:val="00221609"/>
    <w:rsid w:val="002239AE"/>
    <w:rsid w:val="00223C92"/>
    <w:rsid w:val="002241B7"/>
    <w:rsid w:val="00224C3C"/>
    <w:rsid w:val="00224C3D"/>
    <w:rsid w:val="00224D53"/>
    <w:rsid w:val="00225240"/>
    <w:rsid w:val="00226966"/>
    <w:rsid w:val="00227FD3"/>
    <w:rsid w:val="002304B9"/>
    <w:rsid w:val="0023295C"/>
    <w:rsid w:val="00232FB6"/>
    <w:rsid w:val="00234278"/>
    <w:rsid w:val="00234319"/>
    <w:rsid w:val="00241666"/>
    <w:rsid w:val="002418C3"/>
    <w:rsid w:val="0024389C"/>
    <w:rsid w:val="00244AF7"/>
    <w:rsid w:val="002474B9"/>
    <w:rsid w:val="00247646"/>
    <w:rsid w:val="00250AE9"/>
    <w:rsid w:val="002522C7"/>
    <w:rsid w:val="002527D2"/>
    <w:rsid w:val="00253171"/>
    <w:rsid w:val="002537AD"/>
    <w:rsid w:val="0026121F"/>
    <w:rsid w:val="00261481"/>
    <w:rsid w:val="0026184D"/>
    <w:rsid w:val="002629D3"/>
    <w:rsid w:val="00264400"/>
    <w:rsid w:val="00264521"/>
    <w:rsid w:val="002648C6"/>
    <w:rsid w:val="00265450"/>
    <w:rsid w:val="00267BF9"/>
    <w:rsid w:val="0027292B"/>
    <w:rsid w:val="002743BC"/>
    <w:rsid w:val="00276093"/>
    <w:rsid w:val="00277CBB"/>
    <w:rsid w:val="002813BD"/>
    <w:rsid w:val="0028324A"/>
    <w:rsid w:val="002840D4"/>
    <w:rsid w:val="00286901"/>
    <w:rsid w:val="00287052"/>
    <w:rsid w:val="002A17BA"/>
    <w:rsid w:val="002A3AD4"/>
    <w:rsid w:val="002A42C4"/>
    <w:rsid w:val="002B0226"/>
    <w:rsid w:val="002B182C"/>
    <w:rsid w:val="002B3EAB"/>
    <w:rsid w:val="002B545D"/>
    <w:rsid w:val="002B59E2"/>
    <w:rsid w:val="002B7750"/>
    <w:rsid w:val="002C0724"/>
    <w:rsid w:val="002C090F"/>
    <w:rsid w:val="002C1707"/>
    <w:rsid w:val="002C3553"/>
    <w:rsid w:val="002C5D6B"/>
    <w:rsid w:val="002C63F7"/>
    <w:rsid w:val="002C76A2"/>
    <w:rsid w:val="002C7F3B"/>
    <w:rsid w:val="002E216D"/>
    <w:rsid w:val="002E22E5"/>
    <w:rsid w:val="002E62F8"/>
    <w:rsid w:val="002E713C"/>
    <w:rsid w:val="002E7D07"/>
    <w:rsid w:val="002F4A56"/>
    <w:rsid w:val="002F6012"/>
    <w:rsid w:val="002F7007"/>
    <w:rsid w:val="00300950"/>
    <w:rsid w:val="0030344D"/>
    <w:rsid w:val="00303D52"/>
    <w:rsid w:val="00304663"/>
    <w:rsid w:val="00304BA5"/>
    <w:rsid w:val="003065BC"/>
    <w:rsid w:val="00314443"/>
    <w:rsid w:val="0031462A"/>
    <w:rsid w:val="00315881"/>
    <w:rsid w:val="00317F97"/>
    <w:rsid w:val="00321072"/>
    <w:rsid w:val="0032331D"/>
    <w:rsid w:val="00323C72"/>
    <w:rsid w:val="0032684B"/>
    <w:rsid w:val="0032736C"/>
    <w:rsid w:val="003321C5"/>
    <w:rsid w:val="00333A77"/>
    <w:rsid w:val="00333AA8"/>
    <w:rsid w:val="003378FB"/>
    <w:rsid w:val="003406DC"/>
    <w:rsid w:val="0034316F"/>
    <w:rsid w:val="0034563D"/>
    <w:rsid w:val="00347160"/>
    <w:rsid w:val="00351C04"/>
    <w:rsid w:val="0035499D"/>
    <w:rsid w:val="003570F5"/>
    <w:rsid w:val="0036090F"/>
    <w:rsid w:val="003620CB"/>
    <w:rsid w:val="0036356B"/>
    <w:rsid w:val="0036428D"/>
    <w:rsid w:val="003658A0"/>
    <w:rsid w:val="00366658"/>
    <w:rsid w:val="0037273E"/>
    <w:rsid w:val="00377E84"/>
    <w:rsid w:val="003818A7"/>
    <w:rsid w:val="00381F03"/>
    <w:rsid w:val="003828FD"/>
    <w:rsid w:val="00382B88"/>
    <w:rsid w:val="0038512C"/>
    <w:rsid w:val="00385282"/>
    <w:rsid w:val="0038685E"/>
    <w:rsid w:val="00387088"/>
    <w:rsid w:val="00390131"/>
    <w:rsid w:val="003917AB"/>
    <w:rsid w:val="00392C7C"/>
    <w:rsid w:val="003945F5"/>
    <w:rsid w:val="00394892"/>
    <w:rsid w:val="00396215"/>
    <w:rsid w:val="00397933"/>
    <w:rsid w:val="003A3C0C"/>
    <w:rsid w:val="003A510E"/>
    <w:rsid w:val="003A7700"/>
    <w:rsid w:val="003A7ED3"/>
    <w:rsid w:val="003B4247"/>
    <w:rsid w:val="003B48BF"/>
    <w:rsid w:val="003C139A"/>
    <w:rsid w:val="003C1512"/>
    <w:rsid w:val="003C1AE5"/>
    <w:rsid w:val="003C2ACA"/>
    <w:rsid w:val="003D4203"/>
    <w:rsid w:val="003D5627"/>
    <w:rsid w:val="003D6FD0"/>
    <w:rsid w:val="003E1FC4"/>
    <w:rsid w:val="003E268F"/>
    <w:rsid w:val="003E3174"/>
    <w:rsid w:val="003F0880"/>
    <w:rsid w:val="003F46A9"/>
    <w:rsid w:val="00400218"/>
    <w:rsid w:val="00401601"/>
    <w:rsid w:val="00407986"/>
    <w:rsid w:val="00407A13"/>
    <w:rsid w:val="0041005F"/>
    <w:rsid w:val="00410427"/>
    <w:rsid w:val="0041051F"/>
    <w:rsid w:val="004109FC"/>
    <w:rsid w:val="00411B70"/>
    <w:rsid w:val="00417544"/>
    <w:rsid w:val="00420FD3"/>
    <w:rsid w:val="0042162B"/>
    <w:rsid w:val="00422F76"/>
    <w:rsid w:val="0042399D"/>
    <w:rsid w:val="00426392"/>
    <w:rsid w:val="00427631"/>
    <w:rsid w:val="00430DA6"/>
    <w:rsid w:val="0043363C"/>
    <w:rsid w:val="00442B8D"/>
    <w:rsid w:val="00446091"/>
    <w:rsid w:val="004463D0"/>
    <w:rsid w:val="0044641E"/>
    <w:rsid w:val="00451672"/>
    <w:rsid w:val="00451C12"/>
    <w:rsid w:val="004534EC"/>
    <w:rsid w:val="00455343"/>
    <w:rsid w:val="00457983"/>
    <w:rsid w:val="0046492F"/>
    <w:rsid w:val="00466775"/>
    <w:rsid w:val="00471762"/>
    <w:rsid w:val="0047245A"/>
    <w:rsid w:val="00473741"/>
    <w:rsid w:val="00473B30"/>
    <w:rsid w:val="00474939"/>
    <w:rsid w:val="00477558"/>
    <w:rsid w:val="004778D4"/>
    <w:rsid w:val="00480120"/>
    <w:rsid w:val="00480AC6"/>
    <w:rsid w:val="00483949"/>
    <w:rsid w:val="00485CB9"/>
    <w:rsid w:val="004879B8"/>
    <w:rsid w:val="004904E5"/>
    <w:rsid w:val="00491BFE"/>
    <w:rsid w:val="004930B7"/>
    <w:rsid w:val="00495993"/>
    <w:rsid w:val="004A4089"/>
    <w:rsid w:val="004A46E3"/>
    <w:rsid w:val="004A6524"/>
    <w:rsid w:val="004A7B84"/>
    <w:rsid w:val="004B3BE4"/>
    <w:rsid w:val="004B4C02"/>
    <w:rsid w:val="004B6176"/>
    <w:rsid w:val="004B7555"/>
    <w:rsid w:val="004B78B9"/>
    <w:rsid w:val="004B7A98"/>
    <w:rsid w:val="004C3553"/>
    <w:rsid w:val="004C6612"/>
    <w:rsid w:val="004C6A1A"/>
    <w:rsid w:val="004C7373"/>
    <w:rsid w:val="004D0824"/>
    <w:rsid w:val="004D11F1"/>
    <w:rsid w:val="004D178C"/>
    <w:rsid w:val="004D303F"/>
    <w:rsid w:val="004D49E5"/>
    <w:rsid w:val="004E090C"/>
    <w:rsid w:val="004E1C4A"/>
    <w:rsid w:val="004E2C43"/>
    <w:rsid w:val="004E58ED"/>
    <w:rsid w:val="004E7411"/>
    <w:rsid w:val="004F54AD"/>
    <w:rsid w:val="004F591C"/>
    <w:rsid w:val="00503010"/>
    <w:rsid w:val="00505293"/>
    <w:rsid w:val="00507D4B"/>
    <w:rsid w:val="00510577"/>
    <w:rsid w:val="00512E01"/>
    <w:rsid w:val="0051696D"/>
    <w:rsid w:val="00517C69"/>
    <w:rsid w:val="005222A7"/>
    <w:rsid w:val="0052410C"/>
    <w:rsid w:val="00526DC6"/>
    <w:rsid w:val="005272D0"/>
    <w:rsid w:val="0052746D"/>
    <w:rsid w:val="00527C8C"/>
    <w:rsid w:val="005305B1"/>
    <w:rsid w:val="00530D51"/>
    <w:rsid w:val="005319B6"/>
    <w:rsid w:val="00532DB1"/>
    <w:rsid w:val="0053339F"/>
    <w:rsid w:val="00537860"/>
    <w:rsid w:val="005401E2"/>
    <w:rsid w:val="00540D65"/>
    <w:rsid w:val="0054537E"/>
    <w:rsid w:val="00551636"/>
    <w:rsid w:val="005538DA"/>
    <w:rsid w:val="00556815"/>
    <w:rsid w:val="005604F0"/>
    <w:rsid w:val="00560E2D"/>
    <w:rsid w:val="005643E0"/>
    <w:rsid w:val="00565395"/>
    <w:rsid w:val="00565BC8"/>
    <w:rsid w:val="00567E9F"/>
    <w:rsid w:val="00570A86"/>
    <w:rsid w:val="0057164B"/>
    <w:rsid w:val="00574328"/>
    <w:rsid w:val="005755DC"/>
    <w:rsid w:val="005767A2"/>
    <w:rsid w:val="00584FA1"/>
    <w:rsid w:val="00585359"/>
    <w:rsid w:val="00586552"/>
    <w:rsid w:val="00587A3A"/>
    <w:rsid w:val="005918E0"/>
    <w:rsid w:val="00592592"/>
    <w:rsid w:val="005A0A1A"/>
    <w:rsid w:val="005A2C17"/>
    <w:rsid w:val="005B3A36"/>
    <w:rsid w:val="005B3FA8"/>
    <w:rsid w:val="005B5765"/>
    <w:rsid w:val="005B5902"/>
    <w:rsid w:val="005B6D02"/>
    <w:rsid w:val="005C09E1"/>
    <w:rsid w:val="005C19A8"/>
    <w:rsid w:val="005C2DA8"/>
    <w:rsid w:val="005C47C1"/>
    <w:rsid w:val="005C6C70"/>
    <w:rsid w:val="005D46C5"/>
    <w:rsid w:val="005D65EC"/>
    <w:rsid w:val="005D694F"/>
    <w:rsid w:val="005D764E"/>
    <w:rsid w:val="005D7DB1"/>
    <w:rsid w:val="005E1995"/>
    <w:rsid w:val="005E24AB"/>
    <w:rsid w:val="005E2925"/>
    <w:rsid w:val="005E2A8C"/>
    <w:rsid w:val="005E60F8"/>
    <w:rsid w:val="005E7A0C"/>
    <w:rsid w:val="005F095A"/>
    <w:rsid w:val="005F1080"/>
    <w:rsid w:val="005F16EB"/>
    <w:rsid w:val="005F3696"/>
    <w:rsid w:val="005F4A72"/>
    <w:rsid w:val="005F5C08"/>
    <w:rsid w:val="005F6EF2"/>
    <w:rsid w:val="005F71C0"/>
    <w:rsid w:val="006030B9"/>
    <w:rsid w:val="00603B51"/>
    <w:rsid w:val="006042DE"/>
    <w:rsid w:val="00605CFB"/>
    <w:rsid w:val="00606596"/>
    <w:rsid w:val="00606A02"/>
    <w:rsid w:val="00606E3F"/>
    <w:rsid w:val="006074B6"/>
    <w:rsid w:val="00607762"/>
    <w:rsid w:val="0061215A"/>
    <w:rsid w:val="0061771C"/>
    <w:rsid w:val="0062516A"/>
    <w:rsid w:val="00626D0D"/>
    <w:rsid w:val="00634B91"/>
    <w:rsid w:val="006371D3"/>
    <w:rsid w:val="006403ED"/>
    <w:rsid w:val="006453F7"/>
    <w:rsid w:val="00646201"/>
    <w:rsid w:val="00647B13"/>
    <w:rsid w:val="00650641"/>
    <w:rsid w:val="0065068B"/>
    <w:rsid w:val="006513C4"/>
    <w:rsid w:val="00653FA3"/>
    <w:rsid w:val="0065447D"/>
    <w:rsid w:val="00660766"/>
    <w:rsid w:val="00661D91"/>
    <w:rsid w:val="00661F1A"/>
    <w:rsid w:val="006621E1"/>
    <w:rsid w:val="006644A8"/>
    <w:rsid w:val="00673B8E"/>
    <w:rsid w:val="0067407C"/>
    <w:rsid w:val="00674149"/>
    <w:rsid w:val="00675146"/>
    <w:rsid w:val="00675576"/>
    <w:rsid w:val="006768F2"/>
    <w:rsid w:val="00682767"/>
    <w:rsid w:val="00684C5B"/>
    <w:rsid w:val="006863AE"/>
    <w:rsid w:val="00686696"/>
    <w:rsid w:val="00690379"/>
    <w:rsid w:val="006912F5"/>
    <w:rsid w:val="00691D26"/>
    <w:rsid w:val="00693C62"/>
    <w:rsid w:val="00694F03"/>
    <w:rsid w:val="006A147D"/>
    <w:rsid w:val="006A491B"/>
    <w:rsid w:val="006A4D6B"/>
    <w:rsid w:val="006A5A04"/>
    <w:rsid w:val="006A5B5E"/>
    <w:rsid w:val="006A5E02"/>
    <w:rsid w:val="006A611A"/>
    <w:rsid w:val="006A69A9"/>
    <w:rsid w:val="006A7E8C"/>
    <w:rsid w:val="006B0297"/>
    <w:rsid w:val="006B2801"/>
    <w:rsid w:val="006B49E4"/>
    <w:rsid w:val="006B6DD3"/>
    <w:rsid w:val="006B741D"/>
    <w:rsid w:val="006C3A79"/>
    <w:rsid w:val="006C42C2"/>
    <w:rsid w:val="006C7431"/>
    <w:rsid w:val="006C7C4F"/>
    <w:rsid w:val="006D0A0F"/>
    <w:rsid w:val="006D15C2"/>
    <w:rsid w:val="006D1EB2"/>
    <w:rsid w:val="006D2C92"/>
    <w:rsid w:val="006D4724"/>
    <w:rsid w:val="006D56F8"/>
    <w:rsid w:val="006D6606"/>
    <w:rsid w:val="006D6708"/>
    <w:rsid w:val="006D6E8C"/>
    <w:rsid w:val="006E1754"/>
    <w:rsid w:val="006E3B0B"/>
    <w:rsid w:val="006E5F28"/>
    <w:rsid w:val="006F447A"/>
    <w:rsid w:val="006F5A86"/>
    <w:rsid w:val="006F7F3A"/>
    <w:rsid w:val="00700FAA"/>
    <w:rsid w:val="00702298"/>
    <w:rsid w:val="007053F6"/>
    <w:rsid w:val="00706DD1"/>
    <w:rsid w:val="0070719B"/>
    <w:rsid w:val="007101EC"/>
    <w:rsid w:val="00714236"/>
    <w:rsid w:val="00714D31"/>
    <w:rsid w:val="007208CD"/>
    <w:rsid w:val="00720921"/>
    <w:rsid w:val="00723DFA"/>
    <w:rsid w:val="00724C7E"/>
    <w:rsid w:val="00725B30"/>
    <w:rsid w:val="0072715D"/>
    <w:rsid w:val="007276CB"/>
    <w:rsid w:val="007300BB"/>
    <w:rsid w:val="00730A8D"/>
    <w:rsid w:val="00731D3B"/>
    <w:rsid w:val="00733D10"/>
    <w:rsid w:val="00734802"/>
    <w:rsid w:val="00734B9C"/>
    <w:rsid w:val="00735D27"/>
    <w:rsid w:val="00741E5D"/>
    <w:rsid w:val="007424C3"/>
    <w:rsid w:val="007439D1"/>
    <w:rsid w:val="00745E21"/>
    <w:rsid w:val="00751BFD"/>
    <w:rsid w:val="00753AF6"/>
    <w:rsid w:val="007549EB"/>
    <w:rsid w:val="00755123"/>
    <w:rsid w:val="00755EE9"/>
    <w:rsid w:val="00756B66"/>
    <w:rsid w:val="007576F1"/>
    <w:rsid w:val="0076015A"/>
    <w:rsid w:val="00761809"/>
    <w:rsid w:val="0076391C"/>
    <w:rsid w:val="00764129"/>
    <w:rsid w:val="00764169"/>
    <w:rsid w:val="007648F0"/>
    <w:rsid w:val="00766890"/>
    <w:rsid w:val="00771E22"/>
    <w:rsid w:val="00774CED"/>
    <w:rsid w:val="00775742"/>
    <w:rsid w:val="00783255"/>
    <w:rsid w:val="007850F0"/>
    <w:rsid w:val="0078623B"/>
    <w:rsid w:val="00791B1E"/>
    <w:rsid w:val="00793880"/>
    <w:rsid w:val="00793DF9"/>
    <w:rsid w:val="007962BC"/>
    <w:rsid w:val="00796F65"/>
    <w:rsid w:val="007A2C46"/>
    <w:rsid w:val="007A3226"/>
    <w:rsid w:val="007A487A"/>
    <w:rsid w:val="007B0133"/>
    <w:rsid w:val="007B2DAD"/>
    <w:rsid w:val="007B323A"/>
    <w:rsid w:val="007B3EF0"/>
    <w:rsid w:val="007B6576"/>
    <w:rsid w:val="007C066D"/>
    <w:rsid w:val="007D09AC"/>
    <w:rsid w:val="007D0C9C"/>
    <w:rsid w:val="007D1D55"/>
    <w:rsid w:val="007D5097"/>
    <w:rsid w:val="007D551F"/>
    <w:rsid w:val="007E0E4B"/>
    <w:rsid w:val="007E576F"/>
    <w:rsid w:val="007E6443"/>
    <w:rsid w:val="007E7CC2"/>
    <w:rsid w:val="007F135A"/>
    <w:rsid w:val="007F27A9"/>
    <w:rsid w:val="007F6629"/>
    <w:rsid w:val="008005BC"/>
    <w:rsid w:val="00800F66"/>
    <w:rsid w:val="00811BA4"/>
    <w:rsid w:val="00812272"/>
    <w:rsid w:val="00812D18"/>
    <w:rsid w:val="00813825"/>
    <w:rsid w:val="0082234D"/>
    <w:rsid w:val="00823597"/>
    <w:rsid w:val="00824702"/>
    <w:rsid w:val="008347A4"/>
    <w:rsid w:val="00836461"/>
    <w:rsid w:val="008364A9"/>
    <w:rsid w:val="00836A64"/>
    <w:rsid w:val="00843210"/>
    <w:rsid w:val="00843685"/>
    <w:rsid w:val="00843827"/>
    <w:rsid w:val="00843CC0"/>
    <w:rsid w:val="00845174"/>
    <w:rsid w:val="00845928"/>
    <w:rsid w:val="00846C9A"/>
    <w:rsid w:val="008471C6"/>
    <w:rsid w:val="00847E41"/>
    <w:rsid w:val="00847E94"/>
    <w:rsid w:val="00847E97"/>
    <w:rsid w:val="0085367A"/>
    <w:rsid w:val="0086327B"/>
    <w:rsid w:val="008638BB"/>
    <w:rsid w:val="008645F9"/>
    <w:rsid w:val="00864657"/>
    <w:rsid w:val="0086502B"/>
    <w:rsid w:val="0086552C"/>
    <w:rsid w:val="00867C8E"/>
    <w:rsid w:val="00874190"/>
    <w:rsid w:val="0087442E"/>
    <w:rsid w:val="00876E8F"/>
    <w:rsid w:val="008777B8"/>
    <w:rsid w:val="008814D7"/>
    <w:rsid w:val="008835F0"/>
    <w:rsid w:val="00890632"/>
    <w:rsid w:val="00896B59"/>
    <w:rsid w:val="008A3BC9"/>
    <w:rsid w:val="008C0CB6"/>
    <w:rsid w:val="008C4AF9"/>
    <w:rsid w:val="008D254E"/>
    <w:rsid w:val="008D3E77"/>
    <w:rsid w:val="008D4B0E"/>
    <w:rsid w:val="008D5263"/>
    <w:rsid w:val="008E14FF"/>
    <w:rsid w:val="008E19F6"/>
    <w:rsid w:val="008E527D"/>
    <w:rsid w:val="008E63B2"/>
    <w:rsid w:val="008F1590"/>
    <w:rsid w:val="008F2B57"/>
    <w:rsid w:val="008F391C"/>
    <w:rsid w:val="008F453D"/>
    <w:rsid w:val="00900048"/>
    <w:rsid w:val="00902D9B"/>
    <w:rsid w:val="00905D85"/>
    <w:rsid w:val="00911BAB"/>
    <w:rsid w:val="00911C63"/>
    <w:rsid w:val="0091308C"/>
    <w:rsid w:val="009205C2"/>
    <w:rsid w:val="00922BFE"/>
    <w:rsid w:val="00923DF7"/>
    <w:rsid w:val="009246ED"/>
    <w:rsid w:val="00924A2B"/>
    <w:rsid w:val="00925B95"/>
    <w:rsid w:val="00926543"/>
    <w:rsid w:val="009272A8"/>
    <w:rsid w:val="009366F0"/>
    <w:rsid w:val="009370BB"/>
    <w:rsid w:val="00951E5D"/>
    <w:rsid w:val="00952EDB"/>
    <w:rsid w:val="00961818"/>
    <w:rsid w:val="00963687"/>
    <w:rsid w:val="00963E58"/>
    <w:rsid w:val="009644B3"/>
    <w:rsid w:val="00965744"/>
    <w:rsid w:val="009662F7"/>
    <w:rsid w:val="009678D1"/>
    <w:rsid w:val="0097008B"/>
    <w:rsid w:val="00970CC2"/>
    <w:rsid w:val="00971A4A"/>
    <w:rsid w:val="00972C61"/>
    <w:rsid w:val="00987B83"/>
    <w:rsid w:val="00990180"/>
    <w:rsid w:val="00996792"/>
    <w:rsid w:val="009A2424"/>
    <w:rsid w:val="009A2BBE"/>
    <w:rsid w:val="009A6AD3"/>
    <w:rsid w:val="009A72F4"/>
    <w:rsid w:val="009B161A"/>
    <w:rsid w:val="009B2BA8"/>
    <w:rsid w:val="009B7D91"/>
    <w:rsid w:val="009C1049"/>
    <w:rsid w:val="009C1357"/>
    <w:rsid w:val="009C1F77"/>
    <w:rsid w:val="009C2191"/>
    <w:rsid w:val="009C2DD2"/>
    <w:rsid w:val="009D212B"/>
    <w:rsid w:val="009D6205"/>
    <w:rsid w:val="009D6582"/>
    <w:rsid w:val="009F0E90"/>
    <w:rsid w:val="009F16E5"/>
    <w:rsid w:val="009F4ED1"/>
    <w:rsid w:val="009F5DF7"/>
    <w:rsid w:val="009F70F4"/>
    <w:rsid w:val="009F7169"/>
    <w:rsid w:val="00A003D5"/>
    <w:rsid w:val="00A04961"/>
    <w:rsid w:val="00A052C9"/>
    <w:rsid w:val="00A0738E"/>
    <w:rsid w:val="00A11396"/>
    <w:rsid w:val="00A12CAC"/>
    <w:rsid w:val="00A1404A"/>
    <w:rsid w:val="00A1409A"/>
    <w:rsid w:val="00A17CEA"/>
    <w:rsid w:val="00A20436"/>
    <w:rsid w:val="00A247EE"/>
    <w:rsid w:val="00A2605D"/>
    <w:rsid w:val="00A35560"/>
    <w:rsid w:val="00A37A0F"/>
    <w:rsid w:val="00A40A8D"/>
    <w:rsid w:val="00A44252"/>
    <w:rsid w:val="00A449F3"/>
    <w:rsid w:val="00A455BC"/>
    <w:rsid w:val="00A52184"/>
    <w:rsid w:val="00A529CE"/>
    <w:rsid w:val="00A550D4"/>
    <w:rsid w:val="00A55374"/>
    <w:rsid w:val="00A5548A"/>
    <w:rsid w:val="00A56DAF"/>
    <w:rsid w:val="00A60C00"/>
    <w:rsid w:val="00A70B2D"/>
    <w:rsid w:val="00A70FF8"/>
    <w:rsid w:val="00A73CB6"/>
    <w:rsid w:val="00A74BFA"/>
    <w:rsid w:val="00A74F87"/>
    <w:rsid w:val="00A752E5"/>
    <w:rsid w:val="00A77A70"/>
    <w:rsid w:val="00A77BC9"/>
    <w:rsid w:val="00A81100"/>
    <w:rsid w:val="00A8174D"/>
    <w:rsid w:val="00A83437"/>
    <w:rsid w:val="00A848A0"/>
    <w:rsid w:val="00A8497F"/>
    <w:rsid w:val="00A85CCD"/>
    <w:rsid w:val="00A879E3"/>
    <w:rsid w:val="00A90114"/>
    <w:rsid w:val="00A90C82"/>
    <w:rsid w:val="00A9291D"/>
    <w:rsid w:val="00A941CF"/>
    <w:rsid w:val="00A949F9"/>
    <w:rsid w:val="00A9542A"/>
    <w:rsid w:val="00AA384C"/>
    <w:rsid w:val="00AA4ACB"/>
    <w:rsid w:val="00AA5168"/>
    <w:rsid w:val="00AA599D"/>
    <w:rsid w:val="00AA6E2B"/>
    <w:rsid w:val="00AB0AA2"/>
    <w:rsid w:val="00AB28C2"/>
    <w:rsid w:val="00AB4A70"/>
    <w:rsid w:val="00AB4E70"/>
    <w:rsid w:val="00AB6B9E"/>
    <w:rsid w:val="00AB7B4B"/>
    <w:rsid w:val="00AB7FE8"/>
    <w:rsid w:val="00AC47C7"/>
    <w:rsid w:val="00AC6712"/>
    <w:rsid w:val="00AC7322"/>
    <w:rsid w:val="00AD0F49"/>
    <w:rsid w:val="00AD4C5E"/>
    <w:rsid w:val="00AD749B"/>
    <w:rsid w:val="00AE033B"/>
    <w:rsid w:val="00AE0616"/>
    <w:rsid w:val="00AE10E6"/>
    <w:rsid w:val="00AE1259"/>
    <w:rsid w:val="00AE59CC"/>
    <w:rsid w:val="00AE67D8"/>
    <w:rsid w:val="00AF47F3"/>
    <w:rsid w:val="00AF7490"/>
    <w:rsid w:val="00B01C1F"/>
    <w:rsid w:val="00B01DFF"/>
    <w:rsid w:val="00B0341B"/>
    <w:rsid w:val="00B0489B"/>
    <w:rsid w:val="00B05EC1"/>
    <w:rsid w:val="00B07FAD"/>
    <w:rsid w:val="00B14104"/>
    <w:rsid w:val="00B144A8"/>
    <w:rsid w:val="00B14A66"/>
    <w:rsid w:val="00B16458"/>
    <w:rsid w:val="00B16CEA"/>
    <w:rsid w:val="00B17523"/>
    <w:rsid w:val="00B17B8A"/>
    <w:rsid w:val="00B2140D"/>
    <w:rsid w:val="00B21D20"/>
    <w:rsid w:val="00B21FCB"/>
    <w:rsid w:val="00B22209"/>
    <w:rsid w:val="00B234AD"/>
    <w:rsid w:val="00B24620"/>
    <w:rsid w:val="00B24DAC"/>
    <w:rsid w:val="00B259DB"/>
    <w:rsid w:val="00B330D4"/>
    <w:rsid w:val="00B33E2C"/>
    <w:rsid w:val="00B33F24"/>
    <w:rsid w:val="00B4209D"/>
    <w:rsid w:val="00B42539"/>
    <w:rsid w:val="00B47E5F"/>
    <w:rsid w:val="00B50D7C"/>
    <w:rsid w:val="00B5323E"/>
    <w:rsid w:val="00B54A31"/>
    <w:rsid w:val="00B62714"/>
    <w:rsid w:val="00B659DF"/>
    <w:rsid w:val="00B662CC"/>
    <w:rsid w:val="00B72EB0"/>
    <w:rsid w:val="00B74668"/>
    <w:rsid w:val="00B749BD"/>
    <w:rsid w:val="00B768A1"/>
    <w:rsid w:val="00B77AA3"/>
    <w:rsid w:val="00B85D3D"/>
    <w:rsid w:val="00B90E61"/>
    <w:rsid w:val="00B9479A"/>
    <w:rsid w:val="00B9550E"/>
    <w:rsid w:val="00B96044"/>
    <w:rsid w:val="00B97FB4"/>
    <w:rsid w:val="00BA2A21"/>
    <w:rsid w:val="00BA3F6B"/>
    <w:rsid w:val="00BA5140"/>
    <w:rsid w:val="00BA6A9A"/>
    <w:rsid w:val="00BB4757"/>
    <w:rsid w:val="00BB5B60"/>
    <w:rsid w:val="00BB7094"/>
    <w:rsid w:val="00BB7AED"/>
    <w:rsid w:val="00BC2957"/>
    <w:rsid w:val="00BC323D"/>
    <w:rsid w:val="00BC4451"/>
    <w:rsid w:val="00BC5F9C"/>
    <w:rsid w:val="00BD4DDE"/>
    <w:rsid w:val="00BE01EA"/>
    <w:rsid w:val="00BE2A86"/>
    <w:rsid w:val="00BE4744"/>
    <w:rsid w:val="00BE69E2"/>
    <w:rsid w:val="00BF05BA"/>
    <w:rsid w:val="00BF3BC6"/>
    <w:rsid w:val="00BF539F"/>
    <w:rsid w:val="00BF658B"/>
    <w:rsid w:val="00C01F11"/>
    <w:rsid w:val="00C0377C"/>
    <w:rsid w:val="00C03A0C"/>
    <w:rsid w:val="00C042AF"/>
    <w:rsid w:val="00C04708"/>
    <w:rsid w:val="00C04EB6"/>
    <w:rsid w:val="00C0606C"/>
    <w:rsid w:val="00C07005"/>
    <w:rsid w:val="00C07D67"/>
    <w:rsid w:val="00C14024"/>
    <w:rsid w:val="00C16913"/>
    <w:rsid w:val="00C17C69"/>
    <w:rsid w:val="00C17ECE"/>
    <w:rsid w:val="00C2002F"/>
    <w:rsid w:val="00C21029"/>
    <w:rsid w:val="00C23875"/>
    <w:rsid w:val="00C26D42"/>
    <w:rsid w:val="00C27455"/>
    <w:rsid w:val="00C34CAA"/>
    <w:rsid w:val="00C35944"/>
    <w:rsid w:val="00C37728"/>
    <w:rsid w:val="00C4303A"/>
    <w:rsid w:val="00C436B1"/>
    <w:rsid w:val="00C47FCB"/>
    <w:rsid w:val="00C56AC4"/>
    <w:rsid w:val="00C579CB"/>
    <w:rsid w:val="00C60F94"/>
    <w:rsid w:val="00C61585"/>
    <w:rsid w:val="00C61CD0"/>
    <w:rsid w:val="00C64488"/>
    <w:rsid w:val="00C660B7"/>
    <w:rsid w:val="00C74157"/>
    <w:rsid w:val="00C7415F"/>
    <w:rsid w:val="00C76BBB"/>
    <w:rsid w:val="00C7740F"/>
    <w:rsid w:val="00C77637"/>
    <w:rsid w:val="00C8350D"/>
    <w:rsid w:val="00C845BC"/>
    <w:rsid w:val="00C85600"/>
    <w:rsid w:val="00C90CC5"/>
    <w:rsid w:val="00C92E64"/>
    <w:rsid w:val="00C962D8"/>
    <w:rsid w:val="00C97B52"/>
    <w:rsid w:val="00CB1150"/>
    <w:rsid w:val="00CB1FDD"/>
    <w:rsid w:val="00CB595F"/>
    <w:rsid w:val="00CB5E08"/>
    <w:rsid w:val="00CB6146"/>
    <w:rsid w:val="00CB721B"/>
    <w:rsid w:val="00CC0AFE"/>
    <w:rsid w:val="00CD36B6"/>
    <w:rsid w:val="00CD5267"/>
    <w:rsid w:val="00CD5429"/>
    <w:rsid w:val="00CD68AB"/>
    <w:rsid w:val="00CD6F7A"/>
    <w:rsid w:val="00CE0C0B"/>
    <w:rsid w:val="00CE29FF"/>
    <w:rsid w:val="00CE3B2E"/>
    <w:rsid w:val="00CE4334"/>
    <w:rsid w:val="00CF23F4"/>
    <w:rsid w:val="00CF493F"/>
    <w:rsid w:val="00CF4F84"/>
    <w:rsid w:val="00CF53C6"/>
    <w:rsid w:val="00CF5C9F"/>
    <w:rsid w:val="00CF782B"/>
    <w:rsid w:val="00D029A4"/>
    <w:rsid w:val="00D029FF"/>
    <w:rsid w:val="00D03F92"/>
    <w:rsid w:val="00D043B9"/>
    <w:rsid w:val="00D0440B"/>
    <w:rsid w:val="00D04976"/>
    <w:rsid w:val="00D05589"/>
    <w:rsid w:val="00D12696"/>
    <w:rsid w:val="00D15B7E"/>
    <w:rsid w:val="00D15E04"/>
    <w:rsid w:val="00D20A1A"/>
    <w:rsid w:val="00D230F3"/>
    <w:rsid w:val="00D24869"/>
    <w:rsid w:val="00D26485"/>
    <w:rsid w:val="00D27094"/>
    <w:rsid w:val="00D31C41"/>
    <w:rsid w:val="00D325F5"/>
    <w:rsid w:val="00D3269D"/>
    <w:rsid w:val="00D34475"/>
    <w:rsid w:val="00D34705"/>
    <w:rsid w:val="00D359A3"/>
    <w:rsid w:val="00D371C1"/>
    <w:rsid w:val="00D40602"/>
    <w:rsid w:val="00D42174"/>
    <w:rsid w:val="00D42FCA"/>
    <w:rsid w:val="00D442D3"/>
    <w:rsid w:val="00D44A55"/>
    <w:rsid w:val="00D47D64"/>
    <w:rsid w:val="00D5071D"/>
    <w:rsid w:val="00D50D15"/>
    <w:rsid w:val="00D51ABD"/>
    <w:rsid w:val="00D548BA"/>
    <w:rsid w:val="00D60025"/>
    <w:rsid w:val="00D65469"/>
    <w:rsid w:val="00D70487"/>
    <w:rsid w:val="00D73DE3"/>
    <w:rsid w:val="00D74BD7"/>
    <w:rsid w:val="00D75217"/>
    <w:rsid w:val="00D81A87"/>
    <w:rsid w:val="00D82140"/>
    <w:rsid w:val="00D82721"/>
    <w:rsid w:val="00D832B5"/>
    <w:rsid w:val="00D85912"/>
    <w:rsid w:val="00D86E85"/>
    <w:rsid w:val="00D86EB9"/>
    <w:rsid w:val="00D90D50"/>
    <w:rsid w:val="00D91E32"/>
    <w:rsid w:val="00D93DF4"/>
    <w:rsid w:val="00DA2563"/>
    <w:rsid w:val="00DA2FC1"/>
    <w:rsid w:val="00DA76AE"/>
    <w:rsid w:val="00DB1E6C"/>
    <w:rsid w:val="00DB2A5F"/>
    <w:rsid w:val="00DB5540"/>
    <w:rsid w:val="00DC11E4"/>
    <w:rsid w:val="00DC1E67"/>
    <w:rsid w:val="00DC2ACC"/>
    <w:rsid w:val="00DC2B63"/>
    <w:rsid w:val="00DC55C3"/>
    <w:rsid w:val="00DD2226"/>
    <w:rsid w:val="00DD242D"/>
    <w:rsid w:val="00DD40A9"/>
    <w:rsid w:val="00DD4554"/>
    <w:rsid w:val="00DD5322"/>
    <w:rsid w:val="00DE0D65"/>
    <w:rsid w:val="00DE28D4"/>
    <w:rsid w:val="00DE29EA"/>
    <w:rsid w:val="00DE5A70"/>
    <w:rsid w:val="00DF1E4B"/>
    <w:rsid w:val="00DF3E95"/>
    <w:rsid w:val="00DF3EA5"/>
    <w:rsid w:val="00DF5788"/>
    <w:rsid w:val="00DF5EC8"/>
    <w:rsid w:val="00DF6DB7"/>
    <w:rsid w:val="00E0107C"/>
    <w:rsid w:val="00E01936"/>
    <w:rsid w:val="00E02388"/>
    <w:rsid w:val="00E053F6"/>
    <w:rsid w:val="00E1124B"/>
    <w:rsid w:val="00E120CF"/>
    <w:rsid w:val="00E123AC"/>
    <w:rsid w:val="00E147D2"/>
    <w:rsid w:val="00E1743B"/>
    <w:rsid w:val="00E174E1"/>
    <w:rsid w:val="00E178A7"/>
    <w:rsid w:val="00E235CC"/>
    <w:rsid w:val="00E23A7E"/>
    <w:rsid w:val="00E26C20"/>
    <w:rsid w:val="00E2724B"/>
    <w:rsid w:val="00E31A1A"/>
    <w:rsid w:val="00E42BF8"/>
    <w:rsid w:val="00E42E5A"/>
    <w:rsid w:val="00E4446C"/>
    <w:rsid w:val="00E44573"/>
    <w:rsid w:val="00E51A1F"/>
    <w:rsid w:val="00E5334D"/>
    <w:rsid w:val="00E57A44"/>
    <w:rsid w:val="00E61E5B"/>
    <w:rsid w:val="00E635D1"/>
    <w:rsid w:val="00E6396D"/>
    <w:rsid w:val="00E63B61"/>
    <w:rsid w:val="00E64948"/>
    <w:rsid w:val="00E64F1A"/>
    <w:rsid w:val="00E6552D"/>
    <w:rsid w:val="00E74031"/>
    <w:rsid w:val="00E74760"/>
    <w:rsid w:val="00E77D61"/>
    <w:rsid w:val="00E80C7F"/>
    <w:rsid w:val="00E82C21"/>
    <w:rsid w:val="00E84228"/>
    <w:rsid w:val="00E852AC"/>
    <w:rsid w:val="00E8718A"/>
    <w:rsid w:val="00E907C3"/>
    <w:rsid w:val="00E90F2D"/>
    <w:rsid w:val="00E93255"/>
    <w:rsid w:val="00E963F7"/>
    <w:rsid w:val="00EA0735"/>
    <w:rsid w:val="00EA2058"/>
    <w:rsid w:val="00EA4DC4"/>
    <w:rsid w:val="00EB07CB"/>
    <w:rsid w:val="00EB0DC9"/>
    <w:rsid w:val="00EC0966"/>
    <w:rsid w:val="00EC2553"/>
    <w:rsid w:val="00EC3C4B"/>
    <w:rsid w:val="00EC72C6"/>
    <w:rsid w:val="00EC72EF"/>
    <w:rsid w:val="00EC7542"/>
    <w:rsid w:val="00ED056C"/>
    <w:rsid w:val="00ED119B"/>
    <w:rsid w:val="00EE0C46"/>
    <w:rsid w:val="00EE291F"/>
    <w:rsid w:val="00EE6CF6"/>
    <w:rsid w:val="00EE7F25"/>
    <w:rsid w:val="00EF0850"/>
    <w:rsid w:val="00EF254D"/>
    <w:rsid w:val="00EF28C0"/>
    <w:rsid w:val="00EF34E1"/>
    <w:rsid w:val="00EF35CC"/>
    <w:rsid w:val="00EF5F19"/>
    <w:rsid w:val="00F019DC"/>
    <w:rsid w:val="00F0328C"/>
    <w:rsid w:val="00F04270"/>
    <w:rsid w:val="00F048A3"/>
    <w:rsid w:val="00F052A8"/>
    <w:rsid w:val="00F05F90"/>
    <w:rsid w:val="00F13B89"/>
    <w:rsid w:val="00F17A8E"/>
    <w:rsid w:val="00F206E5"/>
    <w:rsid w:val="00F222A6"/>
    <w:rsid w:val="00F22614"/>
    <w:rsid w:val="00F22807"/>
    <w:rsid w:val="00F2499A"/>
    <w:rsid w:val="00F26AC9"/>
    <w:rsid w:val="00F279E8"/>
    <w:rsid w:val="00F336D2"/>
    <w:rsid w:val="00F4125B"/>
    <w:rsid w:val="00F415DC"/>
    <w:rsid w:val="00F41D09"/>
    <w:rsid w:val="00F42635"/>
    <w:rsid w:val="00F437E3"/>
    <w:rsid w:val="00F46254"/>
    <w:rsid w:val="00F50599"/>
    <w:rsid w:val="00F5082C"/>
    <w:rsid w:val="00F51778"/>
    <w:rsid w:val="00F545DC"/>
    <w:rsid w:val="00F54B64"/>
    <w:rsid w:val="00F55027"/>
    <w:rsid w:val="00F5572A"/>
    <w:rsid w:val="00F57787"/>
    <w:rsid w:val="00F61282"/>
    <w:rsid w:val="00F67AEF"/>
    <w:rsid w:val="00F67FBC"/>
    <w:rsid w:val="00F74112"/>
    <w:rsid w:val="00F74CB0"/>
    <w:rsid w:val="00F751EA"/>
    <w:rsid w:val="00F817BB"/>
    <w:rsid w:val="00F84F07"/>
    <w:rsid w:val="00F85650"/>
    <w:rsid w:val="00F872E5"/>
    <w:rsid w:val="00F903BE"/>
    <w:rsid w:val="00F90C7D"/>
    <w:rsid w:val="00F91671"/>
    <w:rsid w:val="00F94067"/>
    <w:rsid w:val="00F96936"/>
    <w:rsid w:val="00FA03BA"/>
    <w:rsid w:val="00FA170B"/>
    <w:rsid w:val="00FA4C5D"/>
    <w:rsid w:val="00FB0BCA"/>
    <w:rsid w:val="00FB33D3"/>
    <w:rsid w:val="00FB42A7"/>
    <w:rsid w:val="00FC4B22"/>
    <w:rsid w:val="00FC5EC0"/>
    <w:rsid w:val="00FC6C60"/>
    <w:rsid w:val="00FD0F55"/>
    <w:rsid w:val="00FD20E6"/>
    <w:rsid w:val="00FD5814"/>
    <w:rsid w:val="00FD7899"/>
    <w:rsid w:val="00FE4F6C"/>
    <w:rsid w:val="00FE50F9"/>
    <w:rsid w:val="00FE5F72"/>
    <w:rsid w:val="00FE6651"/>
    <w:rsid w:val="00FE6731"/>
    <w:rsid w:val="00FF053B"/>
    <w:rsid w:val="00FF1D60"/>
    <w:rsid w:val="00FF42A1"/>
    <w:rsid w:val="00FF5FE0"/>
    <w:rsid w:val="042C6D2F"/>
    <w:rsid w:val="04F27A0F"/>
    <w:rsid w:val="05926A54"/>
    <w:rsid w:val="06DF3840"/>
    <w:rsid w:val="0D291423"/>
    <w:rsid w:val="0DEF2DBD"/>
    <w:rsid w:val="0E1D7BE7"/>
    <w:rsid w:val="0E8325FF"/>
    <w:rsid w:val="14302302"/>
    <w:rsid w:val="1842710A"/>
    <w:rsid w:val="19AE61A3"/>
    <w:rsid w:val="1A1C18A7"/>
    <w:rsid w:val="21D50340"/>
    <w:rsid w:val="247C6BAC"/>
    <w:rsid w:val="24C90335"/>
    <w:rsid w:val="286F545C"/>
    <w:rsid w:val="30083B8E"/>
    <w:rsid w:val="30E71600"/>
    <w:rsid w:val="36A108E4"/>
    <w:rsid w:val="36E17903"/>
    <w:rsid w:val="3720190B"/>
    <w:rsid w:val="374E63E7"/>
    <w:rsid w:val="37A92C8C"/>
    <w:rsid w:val="3A7A77C8"/>
    <w:rsid w:val="3A9A748F"/>
    <w:rsid w:val="3C2F320D"/>
    <w:rsid w:val="3FE80F3F"/>
    <w:rsid w:val="433C57F6"/>
    <w:rsid w:val="4355386A"/>
    <w:rsid w:val="43A11430"/>
    <w:rsid w:val="43A259D0"/>
    <w:rsid w:val="44DC3315"/>
    <w:rsid w:val="48D53595"/>
    <w:rsid w:val="49A07715"/>
    <w:rsid w:val="4BEE2184"/>
    <w:rsid w:val="51255DA0"/>
    <w:rsid w:val="54BF2B99"/>
    <w:rsid w:val="56356E4F"/>
    <w:rsid w:val="584165B2"/>
    <w:rsid w:val="584F18E4"/>
    <w:rsid w:val="58AB32D2"/>
    <w:rsid w:val="58F406A3"/>
    <w:rsid w:val="5DCA1F46"/>
    <w:rsid w:val="5F1F7677"/>
    <w:rsid w:val="611F6782"/>
    <w:rsid w:val="64002B70"/>
    <w:rsid w:val="6A555FA0"/>
    <w:rsid w:val="6DDA2238"/>
    <w:rsid w:val="6E4027F5"/>
    <w:rsid w:val="6FAA5C3A"/>
    <w:rsid w:val="71601FDB"/>
    <w:rsid w:val="7267415F"/>
    <w:rsid w:val="72D71FDF"/>
    <w:rsid w:val="77381774"/>
    <w:rsid w:val="773C7ABF"/>
    <w:rsid w:val="78112CFA"/>
    <w:rsid w:val="784C4C20"/>
    <w:rsid w:val="79943C50"/>
    <w:rsid w:val="7DF07DEB"/>
  </w:rsids>
  <w:docVars>
    <w:docVar w:name="commondata" w:val="eyJoZGlkIjoiNjc4ZjFiZDkwMTVmNmY5YTU5YzU5MjNlZDI1NDJkO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8997466-2062-4BE1-B9B9-22EC3B8D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2D"/>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uiPriority w:val="9"/>
    <w:qFormat/>
    <w:pPr>
      <w:keepNext/>
      <w:keepLines/>
      <w:spacing w:before="340" w:after="330"/>
      <w:jc w:val="left"/>
      <w:outlineLvl w:val="0"/>
    </w:pPr>
    <w:rPr>
      <w:rFonts w:eastAsia="黑体"/>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iPriority w:val="1"/>
    <w:unhideWhenUsed/>
    <w:qFormat/>
    <w:pPr>
      <w:spacing w:after="120"/>
    </w:pPr>
  </w:style>
  <w:style w:type="paragraph" w:styleId="BalloonText">
    <w:name w:val="Balloon Text"/>
    <w:basedOn w:val="Normal"/>
    <w:link w:val="a2"/>
    <w:uiPriority w:val="99"/>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link w:val="TOC10"/>
    <w:uiPriority w:val="39"/>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正文文本 字符"/>
    <w:basedOn w:val="DefaultParagraphFont"/>
    <w:link w:val="BodyText"/>
    <w:uiPriority w:val="1"/>
    <w:qFormat/>
  </w:style>
  <w:style w:type="character" w:customStyle="1" w:styleId="a2">
    <w:name w:val="批注框文本 字符"/>
    <w:basedOn w:val="DefaultParagraphFont"/>
    <w:link w:val="BalloonText"/>
    <w:uiPriority w:val="99"/>
    <w:qFormat/>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Normal"/>
    <w:uiPriority w:val="34"/>
    <w:qFormat/>
    <w:pPr>
      <w:spacing w:line="276" w:lineRule="auto"/>
      <w:ind w:firstLine="420" w:firstLineChars="200"/>
    </w:pPr>
  </w:style>
  <w:style w:type="paragraph" w:styleId="ListParagraph">
    <w:name w:val="List Paragraph"/>
    <w:basedOn w:val="Normal"/>
    <w:uiPriority w:val="99"/>
    <w:unhideWhenUsed/>
    <w:qFormat/>
    <w:pPr>
      <w:spacing w:line="276" w:lineRule="auto"/>
      <w:ind w:firstLine="420" w:firstLineChars="200"/>
    </w:pPr>
  </w:style>
  <w:style w:type="character" w:customStyle="1" w:styleId="pattern-text">
    <w:name w:val="pattern-text"/>
    <w:basedOn w:val="DefaultParagraphFont"/>
    <w:qFormat/>
  </w:style>
  <w:style w:type="character" w:customStyle="1" w:styleId="indent">
    <w:name w:val="indent"/>
    <w:basedOn w:val="DefaultParagraphFont"/>
    <w:qFormat/>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21">
    <w:name w:val="font21"/>
    <w:basedOn w:val="DefaultParagraphFont"/>
    <w:qFormat/>
    <w:rPr>
      <w:rFonts w:ascii="宋体" w:eastAsia="宋体" w:hAnsi="宋体" w:cs="宋体" w:hint="eastAsia"/>
      <w:color w:val="000000"/>
      <w:sz w:val="18"/>
      <w:szCs w:val="18"/>
      <w:u w:val="none"/>
    </w:rPr>
  </w:style>
  <w:style w:type="paragraph" w:customStyle="1" w:styleId="TOC11">
    <w:name w:val="TOC11"/>
    <w:basedOn w:val="TOC1"/>
    <w:link w:val="TOC110"/>
    <w:qFormat/>
    <w:rsid w:val="006644A8"/>
    <w:pPr>
      <w:tabs>
        <w:tab w:val="right" w:leader="dot" w:pos="8306"/>
      </w:tabs>
    </w:pPr>
    <w:rPr>
      <w:rFonts w:ascii="宋体" w:eastAsia="宋体" w:hAnsi="宋体" w:cs="宋体"/>
      <w:b/>
      <w:bCs/>
      <w:sz w:val="36"/>
      <w:szCs w:val="36"/>
    </w:rPr>
  </w:style>
  <w:style w:type="paragraph" w:customStyle="1" w:styleId="TOC22">
    <w:name w:val="TOC22"/>
    <w:basedOn w:val="TOC1"/>
    <w:link w:val="TOC220"/>
    <w:qFormat/>
    <w:rsid w:val="006644A8"/>
    <w:pPr>
      <w:tabs>
        <w:tab w:val="right" w:leader="dot" w:pos="8306"/>
      </w:tabs>
    </w:pPr>
    <w:rPr>
      <w:rFonts w:ascii="宋体" w:eastAsia="宋体" w:hAnsi="宋体" w:cs="宋体"/>
      <w:sz w:val="36"/>
      <w:szCs w:val="36"/>
    </w:rPr>
  </w:style>
  <w:style w:type="character" w:customStyle="1" w:styleId="TOC10">
    <w:name w:val="TOC 1 字符"/>
    <w:basedOn w:val="DefaultParagraphFont"/>
    <w:link w:val="TOC1"/>
    <w:uiPriority w:val="39"/>
    <w:rsid w:val="006644A8"/>
    <w:rPr>
      <w:rFonts w:asciiTheme="minorHAnsi" w:eastAsiaTheme="minorEastAsia" w:hAnsiTheme="minorHAnsi" w:cstheme="minorBidi"/>
      <w:kern w:val="2"/>
      <w:sz w:val="21"/>
      <w:szCs w:val="22"/>
    </w:rPr>
  </w:style>
  <w:style w:type="character" w:customStyle="1" w:styleId="TOC110">
    <w:name w:val="TOC11 字符"/>
    <w:basedOn w:val="TOC10"/>
    <w:link w:val="TOC11"/>
    <w:rsid w:val="006644A8"/>
    <w:rPr>
      <w:rFonts w:ascii="宋体" w:hAnsi="宋体" w:eastAsiaTheme="minorEastAsia" w:cs="宋体"/>
      <w:b/>
      <w:bCs/>
      <w:kern w:val="2"/>
      <w:sz w:val="36"/>
      <w:szCs w:val="36"/>
    </w:rPr>
  </w:style>
  <w:style w:type="character" w:customStyle="1" w:styleId="TOC220">
    <w:name w:val="TOC22 字符"/>
    <w:basedOn w:val="TOC10"/>
    <w:link w:val="TOC22"/>
    <w:rsid w:val="006644A8"/>
    <w:rPr>
      <w:rFonts w:ascii="宋体" w:hAnsi="宋体" w:eastAsiaTheme="minorEastAsia" w:cs="宋体"/>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footer3.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styles.xml" Type="http://schemas.openxmlformats.org/officeDocument/2006/relationships/style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customXml/item2.xml" Type="http://schemas.openxmlformats.org/officeDocument/2006/relationships/customXml"/><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0D29C9-0123-4000-A91D-DC7F260C4E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37</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2022-01-25T01:58:00Z</dcterms:created>
  <dc:creator>caizhengui</dc:creator>
  <cp:lastModifiedBy>北 阿阿阿阿</cp:lastModifiedBy>
  <dcterms:modified xsi:type="dcterms:W3CDTF">2025-01-07T01:43:00Z</dcterms:modified>
  <cp:revision>2861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571092DF3F4B451C8DE22326F6FEC574</vt:lpwstr>
  </property>
  <property fmtid="{D5CDD505-2E9C-101B-9397-08002B2CF9AE}" pid="3" name="KSOProductBuildVer">
    <vt:lpwstr>2052-11.1.0.13703</vt:lpwstr>
  </property>
</Properties>
</file>