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heme="minorEastAsia" w:hAnsiTheme="minorEastAsia"/>
          <w:sz w:val="32"/>
          <w:szCs w:val="32"/>
        </w:rPr>
      </w:pPr>
      <w:r>
        <w:rPr>
          <w:rFonts w:hint="eastAsia" w:asciiTheme="minorEastAsia" w:hAnsiTheme="minorEastAsia"/>
          <w:sz w:val="32"/>
          <w:szCs w:val="32"/>
        </w:rPr>
        <w:t>附件2：</w:t>
      </w:r>
    </w:p>
    <w:p>
      <w:pPr>
        <w:widowControl/>
        <w:rPr>
          <w:rFonts w:hint="eastAsia" w:ascii="方正小标宋简体" w:eastAsia="方正小标宋简体"/>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2018年度</w:t>
      </w: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eastAsia="zh-CN"/>
        </w:rPr>
        <w:t>晋江</w:t>
      </w:r>
      <w:r>
        <w:rPr>
          <w:rFonts w:hint="eastAsia" w:ascii="方正小标宋简体" w:eastAsia="方正小标宋简体"/>
          <w:sz w:val="84"/>
          <w:szCs w:val="84"/>
        </w:rPr>
        <w:t>市</w:t>
      </w:r>
      <w:r>
        <w:rPr>
          <w:rFonts w:hint="eastAsia" w:ascii="方正小标宋简体" w:eastAsia="方正小标宋简体"/>
          <w:sz w:val="84"/>
          <w:szCs w:val="84"/>
          <w:lang w:eastAsia="zh-CN"/>
        </w:rPr>
        <w:t>经信</w:t>
      </w: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2"/>
        <w:jc w:val="center"/>
        <w:rPr>
          <w:rFonts w:asciiTheme="majorEastAsia" w:hAnsiTheme="majorEastAsia" w:eastAsiaTheme="majorEastAsia"/>
          <w:b/>
          <w:sz w:val="44"/>
          <w:szCs w:val="44"/>
          <w:lang w:eastAsia="zh-CN"/>
        </w:rPr>
      </w:pPr>
      <w:r>
        <w:rPr>
          <w:rFonts w:hint="eastAsia" w:asciiTheme="majorEastAsia" w:hAnsiTheme="majorEastAsia" w:eastAsiaTheme="majorEastAsia"/>
          <w:b/>
          <w:sz w:val="44"/>
          <w:szCs w:val="44"/>
          <w:lang w:eastAsia="zh-CN"/>
        </w:rPr>
        <w:t>目录</w:t>
      </w:r>
    </w:p>
    <w:p>
      <w:pPr>
        <w:pStyle w:val="2"/>
        <w:rPr>
          <w:rFonts w:asciiTheme="majorEastAsia" w:hAnsiTheme="majorEastAsia" w:eastAsiaTheme="majorEastAsia"/>
          <w:sz w:val="36"/>
          <w:lang w:eastAsia="zh-CN"/>
        </w:rPr>
      </w:pP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2018年度经信部门预算说明</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一、部门主要职责</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二、部门预算单位构成</w:t>
      </w:r>
    </w:p>
    <w:p>
      <w:pPr>
        <w:pStyle w:val="2"/>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三、部门主要工作任务</w:t>
      </w:r>
    </w:p>
    <w:p>
      <w:pPr>
        <w:widowControl/>
        <w:rPr>
          <w:rFonts w:asciiTheme="majorEastAsia" w:hAnsiTheme="majorEastAsia" w:eastAsiaTheme="majorEastAsia"/>
          <w:sz w:val="36"/>
        </w:rPr>
      </w:pPr>
      <w:r>
        <w:rPr>
          <w:rFonts w:hint="eastAsia" w:cs="Times New Roman" w:asciiTheme="majorEastAsia" w:hAnsiTheme="majorEastAsia" w:eastAsiaTheme="majorEastAsia"/>
          <w:kern w:val="0"/>
          <w:sz w:val="36"/>
          <w:szCs w:val="20"/>
        </w:rPr>
        <w:t>四、预算收支总体情况</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五、一般公共预算拨款支出情况</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六、政府性基金预算拨款支出情况</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七、财政拨款预算基本支出情况</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八、一般公共预算“三公”经费支出情况</w:t>
      </w:r>
    </w:p>
    <w:p>
      <w:pPr>
        <w:widowControl/>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九、其他重要事项说明</w:t>
      </w:r>
    </w:p>
    <w:p>
      <w:pPr>
        <w:pStyle w:val="2"/>
        <w:spacing w:before="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十、名词解释</w:t>
      </w:r>
    </w:p>
    <w:p>
      <w:pPr>
        <w:tabs>
          <w:tab w:val="left" w:pos="7513"/>
        </w:tabs>
        <w:adjustRightInd w:val="0"/>
        <w:snapToGrid w:val="0"/>
        <w:spacing w:line="600" w:lineRule="exact"/>
        <w:jc w:val="left"/>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rPr>
        <w:t>附表：2018年度</w:t>
      </w:r>
      <w:r>
        <w:rPr>
          <w:rFonts w:hint="eastAsia" w:cs="Times New Roman" w:asciiTheme="majorEastAsia" w:hAnsiTheme="majorEastAsia" w:eastAsiaTheme="majorEastAsia"/>
          <w:kern w:val="0"/>
          <w:sz w:val="36"/>
          <w:szCs w:val="20"/>
          <w:lang w:val="en-US" w:eastAsia="zh-CN"/>
        </w:rPr>
        <w:t>经信</w:t>
      </w:r>
      <w:r>
        <w:rPr>
          <w:rFonts w:hint="eastAsia" w:cs="Times New Roman" w:asciiTheme="majorEastAsia" w:hAnsiTheme="majorEastAsia" w:eastAsiaTheme="majorEastAsia"/>
          <w:kern w:val="0"/>
          <w:sz w:val="36"/>
          <w:szCs w:val="20"/>
        </w:rPr>
        <w:t>部门预算公开表</w:t>
      </w:r>
    </w:p>
    <w:p>
      <w:pPr>
        <w:widowControl/>
      </w:pPr>
      <w:r>
        <w:tab/>
      </w:r>
    </w:p>
    <w:p>
      <w:pPr>
        <w:ind w:firstLine="640" w:firstLineChars="200"/>
        <w:jc w:val="center"/>
        <w:rPr>
          <w:rFonts w:ascii="方正小标宋简体" w:hAnsi="仿宋" w:eastAsia="方正小标宋简体"/>
          <w:sz w:val="32"/>
          <w:szCs w:val="32"/>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jc w:val="center"/>
        <w:rPr>
          <w:rFonts w:ascii="黑体" w:hAnsi="黑体" w:eastAsia="黑体" w:cs="仿宋_GB2312"/>
          <w:sz w:val="36"/>
          <w:szCs w:val="36"/>
        </w:rPr>
      </w:pPr>
    </w:p>
    <w:p>
      <w:pPr>
        <w:rPr>
          <w:rFonts w:ascii="黑体" w:hAnsi="黑体" w:eastAsia="黑体" w:cs="仿宋_GB2312"/>
          <w:sz w:val="36"/>
          <w:szCs w:val="36"/>
        </w:rPr>
      </w:pPr>
    </w:p>
    <w:p>
      <w:pPr>
        <w:jc w:val="center"/>
        <w:rPr>
          <w:rFonts w:ascii="黑体" w:hAnsi="黑体" w:eastAsia="黑体"/>
          <w:sz w:val="36"/>
          <w:szCs w:val="36"/>
        </w:rPr>
      </w:pPr>
      <w:r>
        <w:rPr>
          <w:rFonts w:hint="eastAsia" w:ascii="黑体" w:hAnsi="黑体" w:eastAsia="黑体" w:cs="仿宋_GB2312"/>
          <w:sz w:val="36"/>
          <w:szCs w:val="36"/>
        </w:rPr>
        <w:t>2018</w:t>
      </w:r>
      <w:r>
        <w:rPr>
          <w:rFonts w:hint="eastAsia" w:ascii="黑体" w:hAnsi="黑体" w:eastAsia="黑体"/>
          <w:sz w:val="36"/>
          <w:szCs w:val="36"/>
        </w:rPr>
        <w:t>年度部</w:t>
      </w:r>
      <w:r>
        <w:rPr>
          <w:rFonts w:hint="eastAsia" w:ascii="黑体" w:hAnsi="黑体" w:eastAsia="黑体"/>
          <w:sz w:val="36"/>
          <w:szCs w:val="36"/>
          <w:lang w:eastAsia="zh-CN"/>
        </w:rPr>
        <w:t>经信</w:t>
      </w:r>
      <w:r>
        <w:rPr>
          <w:rFonts w:hint="eastAsia" w:ascii="黑体" w:hAnsi="黑体" w:eastAsia="黑体"/>
          <w:sz w:val="36"/>
          <w:szCs w:val="36"/>
        </w:rPr>
        <w:t>门预算说明</w:t>
      </w:r>
    </w:p>
    <w:p>
      <w:pPr>
        <w:spacing w:line="240" w:lineRule="exact"/>
        <w:ind w:firstLine="640" w:firstLineChars="200"/>
        <w:rPr>
          <w:rFonts w:ascii="仿宋" w:hAnsi="仿宋" w:eastAsia="仿宋"/>
          <w:sz w:val="32"/>
          <w:szCs w:val="32"/>
        </w:rPr>
      </w:pP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2018年部门预算经晋江市十七届人大二次会议审议通过，现</w:t>
      </w:r>
      <w:r>
        <w:rPr>
          <w:rFonts w:hint="eastAsia" w:ascii="仿宋" w:hAnsi="仿宋" w:eastAsia="仿宋"/>
          <w:sz w:val="32"/>
          <w:szCs w:val="32"/>
          <w:lang w:eastAsia="zh-CN"/>
        </w:rPr>
        <w:t>将</w:t>
      </w:r>
      <w:r>
        <w:rPr>
          <w:rFonts w:hint="eastAsia" w:ascii="仿宋" w:hAnsi="仿宋" w:eastAsia="仿宋"/>
          <w:sz w:val="32"/>
          <w:szCs w:val="32"/>
        </w:rPr>
        <w:t>我单位</w:t>
      </w:r>
      <w:r>
        <w:rPr>
          <w:rFonts w:hint="eastAsia" w:ascii="仿宋" w:hAnsi="仿宋" w:eastAsia="仿宋" w:cs="仿宋_GB2312"/>
          <w:sz w:val="32"/>
          <w:szCs w:val="32"/>
        </w:rPr>
        <w:t>2018年</w:t>
      </w:r>
      <w:r>
        <w:rPr>
          <w:rFonts w:hint="eastAsia" w:ascii="仿宋" w:hAnsi="仿宋" w:eastAsia="仿宋"/>
          <w:sz w:val="32"/>
          <w:szCs w:val="32"/>
        </w:rPr>
        <w:t>部门预算说明如下:</w:t>
      </w:r>
    </w:p>
    <w:p>
      <w:pPr>
        <w:pStyle w:val="9"/>
        <w:numPr>
          <w:ilvl w:val="0"/>
          <w:numId w:val="1"/>
        </w:numPr>
        <w:tabs>
          <w:tab w:val="left" w:pos="1260"/>
        </w:tabs>
        <w:adjustRightInd w:val="0"/>
        <w:snapToGrid w:val="0"/>
        <w:spacing w:line="600" w:lineRule="exact"/>
        <w:ind w:firstLineChars="0"/>
        <w:jc w:val="left"/>
        <w:rPr>
          <w:rFonts w:ascii="黑体" w:hAnsi="黑体" w:eastAsia="黑体"/>
          <w:sz w:val="32"/>
          <w:szCs w:val="32"/>
        </w:rPr>
      </w:pPr>
      <w:r>
        <w:rPr>
          <w:rFonts w:hint="eastAsia" w:ascii="黑体" w:hAnsi="黑体" w:eastAsia="黑体"/>
          <w:sz w:val="32"/>
          <w:szCs w:val="32"/>
        </w:rPr>
        <w:t>部门主要职责</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经信部门的主要职责是：</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省、泉州市经济和信息化发展战略、法律法规和政策；制定并组织实施全市新型工业化、信息化发展规划、计划及政策措施，推进现代产业体系建设，指导、监督、检查执行情况；参与制定全市国民经济和社会发展战略、中长期规划和年度计划。</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监测分析全市工业经济运行态势，并发布相关信息；制定并组织实施工业、信息产业运行调控目标、政策和措施；协调解决工业、信息产业运行中的有关问题；建立并组织实施重点行业、重点企业、重点产品运行调度机制和经济运行应急调度机制；制定并组织实施全市重点支农产品、重要工业品、重要生产原材料等的调控方案；建立工业企业服务机制。</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制定并组织实施全市产业结构调整和优化升级的政策措施；负责提出工业和信息化领域固定资产投资方向和目录，按规定管理工业和信息化领域企业投资项目，指导推进企业技术改造；制定并组织实施工业和信息化领域企业投资项目利用政府资金的政策和使用管理办法；负责牵头协调推进战略性新兴产业发展；负责制定并组织实施指导推进民营经济发展的政策措施；指导、推进工业和信息化领域与台、港、澳产业交流与合作；制定并组织实施产业龙头促进计划、产业集群发展意见和政策措施。</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相关能源行业管理；负责监测分析能源运行情况并发布能源信息；衔接能源生产和供需平衡，协调解决能源运行中的重大问题；提出能源价格调整建议；负责煤炭、石油、天然气等能源调度和应急保障工作，承担陆上石油天然气长输管道设施保护监督管理工作；负责全市电网运行与调度管理，承担电力行政执法工作。</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（五）负责全市节能监督管理；组织协调、监督管理循环经济发展工作；组织协调清洁生产促进工作；指导资源综合开发和合理利用；依法承担节能等相关行政执法工作。</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原材料工业、装备工业、消费品工业、电子信息工业、软件和信息服务业等行业管理工作；制定并组织实施行业技术规范、标准、行业准入和产业政策；指导行业质量和品牌工作；协调解决行业运行发展中的重大问题；按规定负责盐业行政管理；依法负责农药生产的监督管理；推进军民融合发展的武器装备科研生产体系建设；配合开展民爆器材生产环节的安全监管。</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指导和服务企业改革与发展；牵头制定并组织实施国有企业改革方案和政策措施，承担国有工业企业的管理服务工作；牵头制定并组织实施促进中小微企业发展的政策措施；负责建立和完善中小微企业服务体系；引导和支持企业提升经营管理水平；负责指导和服务全市乡镇企业的有关工作；依法指导企业法律顾问工作。</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制定并组织实施企业技术创新的政策措施，指导、协调推动企业创新公共服务平台建设，指导和推动产学研联合，指导推动企业创新能力建设，组织实施重大产业示范工程，引进重大技术装备消化创新，推广应用智能化生产装备。</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（九）负责协调、指导生产性服务业发展，制定并组织实施推进制造业和服务业融合发展政策措施；统筹规划、指导工业设计、现代物流等生产性服务业发展，指导、推进制造业服务外包工作。</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贯彻执行国家、省、泉州市有关信息化工作的法律法规政策，研究制定全市信息化建设政策；统筹协调全市信息化建设，负责全市国民经济和社会信息化工作的规划、计划、指导、协调、实施、管理和监督工作；编制年度市级信息化建设项目计划并组织实施、监督和检查，负责全市信息化建设项目技术审核；指导推动信息技术在国民经济和社会各领域、各行业的应用；负责全市电子政务规划、指导、协调、实施和监督检查，承担市信息化工作领导小组日常工作。</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指导全市信息化资源和基础设施建设，协调推动“智慧城市”建设具体工作；组织实施国家和省信息化技术标准，负责起草全市信息化技术规范和标准；规划、指导、协调与组织信息资源的共享和开发利用；统筹建设信息化公共平台，合理配置信息化资源。</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（十二）统筹、规划、协调工业化和信息化深度融合工作；协调和推动“三网融合”工作；依法承担信息系统工程建设市场的监督管理。指导、推动全市动漫、网络游戏产业规划、项目建设工作。</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（十三）负责协调推进信息消费工作，会同有关部门研究提出相关政策措施并组织实施。</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（十四）组织开展地区性横向经济技术协作活动；指导协调全市企业的经济技术协作；联系外地区政府驻晋办事机构；承担市政府有关对口支援工作。</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（十五）承办市委、市政府交办的其它事项。</w:t>
      </w:r>
    </w:p>
    <w:p>
      <w:pPr>
        <w:tabs>
          <w:tab w:val="left" w:pos="7513"/>
        </w:tabs>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二、部门预算单位构成</w:t>
      </w:r>
    </w:p>
    <w:p>
      <w:pPr>
        <w:tabs>
          <w:tab w:val="left" w:pos="7513"/>
        </w:tabs>
        <w:adjustRightInd w:val="0"/>
        <w:snapToGrid w:val="0"/>
        <w:spacing w:line="600" w:lineRule="exact"/>
        <w:ind w:firstLine="640" w:firstLineChars="200"/>
        <w:rPr>
          <w:rFonts w:hint="eastAsia" w:ascii="仿宋" w:hAnsi="仿宋" w:eastAsia="仿宋"/>
          <w:sz w:val="32"/>
          <w:szCs w:val="32"/>
        </w:rPr>
      </w:pPr>
      <w:bookmarkStart w:id="0" w:name="_GoBack"/>
      <w:r>
        <w:rPr>
          <w:rFonts w:hint="eastAsia" w:ascii="仿宋" w:hAnsi="仿宋" w:eastAsia="仿宋" w:cs="仿宋_GB2312"/>
          <w:sz w:val="32"/>
          <w:szCs w:val="32"/>
        </w:rPr>
        <w:t>从预算单位构成看，经信</w:t>
      </w:r>
      <w:r>
        <w:rPr>
          <w:rFonts w:hint="eastAsia" w:ascii="仿宋" w:hAnsi="仿宋" w:eastAsia="仿宋"/>
          <w:sz w:val="32"/>
          <w:szCs w:val="32"/>
        </w:rPr>
        <w:t>部门包括</w:t>
      </w:r>
      <w:r>
        <w:rPr>
          <w:rFonts w:hint="eastAsia" w:ascii="仿宋" w:hAnsi="仿宋" w:eastAsia="仿宋" w:cs="仿宋_GB2312"/>
          <w:sz w:val="32"/>
          <w:szCs w:val="32"/>
        </w:rPr>
        <w:t>1</w:t>
      </w:r>
      <w:r>
        <w:rPr>
          <w:rFonts w:hint="eastAsia" w:ascii="仿宋" w:hAnsi="仿宋" w:eastAsia="仿宋"/>
          <w:sz w:val="32"/>
          <w:szCs w:val="32"/>
        </w:rPr>
        <w:t>个机关行政处（科）室及</w:t>
      </w:r>
      <w:r>
        <w:rPr>
          <w:rFonts w:hint="eastAsia" w:ascii="仿宋" w:hAnsi="仿宋" w:eastAsia="仿宋" w:cs="仿宋_GB2312"/>
          <w:sz w:val="32"/>
          <w:szCs w:val="32"/>
        </w:rPr>
        <w:t>3</w:t>
      </w:r>
      <w:r>
        <w:rPr>
          <w:rFonts w:hint="eastAsia" w:ascii="仿宋" w:hAnsi="仿宋" w:eastAsia="仿宋"/>
          <w:sz w:val="32"/>
          <w:szCs w:val="32"/>
        </w:rPr>
        <w:t>个下属单位，其中：列入</w:t>
      </w:r>
      <w:r>
        <w:rPr>
          <w:rFonts w:hint="eastAsia" w:ascii="仿宋" w:hAnsi="仿宋" w:eastAsia="仿宋" w:cs="仿宋_GB2312"/>
          <w:sz w:val="32"/>
          <w:szCs w:val="32"/>
        </w:rPr>
        <w:t>2018</w:t>
      </w:r>
      <w:r>
        <w:rPr>
          <w:rFonts w:hint="eastAsia" w:ascii="仿宋" w:hAnsi="仿宋" w:eastAsia="仿宋"/>
          <w:sz w:val="32"/>
          <w:szCs w:val="32"/>
        </w:rPr>
        <w:t>年部门预算编制范围的单位详细情况见下表:</w:t>
      </w:r>
    </w:p>
    <w:bookmarkEnd w:id="0"/>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shd w:val="clear" w:color="auto" w:fill="auto"/>
            <w:noWrap w:val="0"/>
            <w:vAlign w:val="top"/>
          </w:tcPr>
          <w:p>
            <w:pPr>
              <w:tabs>
                <w:tab w:val="left" w:pos="7513"/>
              </w:tabs>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2130" w:type="dxa"/>
            <w:shd w:val="clear" w:color="auto" w:fill="auto"/>
            <w:noWrap w:val="0"/>
            <w:vAlign w:val="top"/>
          </w:tcPr>
          <w:p>
            <w:pPr>
              <w:tabs>
                <w:tab w:val="left" w:pos="7513"/>
              </w:tabs>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经费性质</w:t>
            </w:r>
          </w:p>
        </w:tc>
        <w:tc>
          <w:tcPr>
            <w:tcW w:w="2131" w:type="dxa"/>
            <w:shd w:val="clear" w:color="auto" w:fill="auto"/>
            <w:noWrap w:val="0"/>
            <w:vAlign w:val="top"/>
          </w:tcPr>
          <w:p>
            <w:pPr>
              <w:tabs>
                <w:tab w:val="left" w:pos="7513"/>
              </w:tabs>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人员编制数</w:t>
            </w:r>
          </w:p>
        </w:tc>
        <w:tc>
          <w:tcPr>
            <w:tcW w:w="2131" w:type="dxa"/>
            <w:shd w:val="clear" w:color="auto" w:fill="auto"/>
            <w:noWrap w:val="0"/>
            <w:vAlign w:val="top"/>
          </w:tcPr>
          <w:p>
            <w:pPr>
              <w:tabs>
                <w:tab w:val="left" w:pos="7513"/>
              </w:tabs>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晋江市经济和信息化局</w:t>
            </w:r>
          </w:p>
        </w:tc>
        <w:tc>
          <w:tcPr>
            <w:tcW w:w="2130"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全额拨款</w:t>
            </w:r>
          </w:p>
        </w:tc>
        <w:tc>
          <w:tcPr>
            <w:tcW w:w="2131"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w:t>
            </w:r>
          </w:p>
        </w:tc>
        <w:tc>
          <w:tcPr>
            <w:tcW w:w="2131"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晋江市经济和信息执法大队</w:t>
            </w:r>
          </w:p>
        </w:tc>
        <w:tc>
          <w:tcPr>
            <w:tcW w:w="2130"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全额拨款</w:t>
            </w:r>
          </w:p>
        </w:tc>
        <w:tc>
          <w:tcPr>
            <w:tcW w:w="2131"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w:t>
            </w:r>
          </w:p>
        </w:tc>
        <w:tc>
          <w:tcPr>
            <w:tcW w:w="2131"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晋江市节能监测中心</w:t>
            </w:r>
          </w:p>
        </w:tc>
        <w:tc>
          <w:tcPr>
            <w:tcW w:w="2130"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全额拨款</w:t>
            </w:r>
          </w:p>
        </w:tc>
        <w:tc>
          <w:tcPr>
            <w:tcW w:w="2131"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2131"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晋江市数字晋江建设办公室</w:t>
            </w:r>
          </w:p>
        </w:tc>
        <w:tc>
          <w:tcPr>
            <w:tcW w:w="2130"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全额拨款</w:t>
            </w:r>
          </w:p>
        </w:tc>
        <w:tc>
          <w:tcPr>
            <w:tcW w:w="2131"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2131" w:type="dxa"/>
            <w:shd w:val="clear" w:color="auto" w:fill="auto"/>
            <w:noWrap w:val="0"/>
            <w:vAlign w:val="top"/>
          </w:tcPr>
          <w:p>
            <w:pPr>
              <w:tabs>
                <w:tab w:val="left" w:pos="7513"/>
              </w:tabs>
              <w:adjustRightInd w:val="0"/>
              <w:snapToGrid w:val="0"/>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p>
        </w:tc>
      </w:tr>
    </w:tbl>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p>
    <w:p>
      <w:pPr>
        <w:tabs>
          <w:tab w:val="left" w:pos="7513"/>
        </w:tabs>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经信部门主要任务是：坚持以习近平新时代中国特色社会主义思想为指导，深入贯彻落实党的十九大精神，全面贯彻落实中央经济工作会议、省委十届五次全会、泉州市委十二届六次全会、晋江市委十三届四次全会，以及全国、全省、泉州市工业（经济）和信息化工作会议精神，按照市委、市政府提出的工作思路，牢牢把握“新实体经济，新发展动能”工作主线，开拓创新、主动作为，全力以赴推动经信各项工作实现新突破，为我市在全省赶超跨越中扛旗领跑、当好全省县域排头兵，继续勇挑重担，作出新的更大贡献。力争2018年规上工业产值增长13.6%左右，支撑工业增加值增长7.9%左右；工业投资计划完成587亿元左右，其中，技改投资计划300亿元左右；确保完成上级下达的节能降耗、</w:t>
      </w:r>
      <w:r>
        <w:rPr>
          <w:rFonts w:hint="eastAsia" w:ascii="仿宋_GB2312" w:hAnsi="仿宋_GB2312" w:eastAsia="仿宋_GB2312" w:cs="仿宋_GB2312"/>
          <w:sz w:val="32"/>
          <w:szCs w:val="32"/>
        </w:rPr>
        <w:t>淘汰落后产能年度任务。围绕上述任务，重点抓好7个方面工作：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b/>
          <w:sz w:val="32"/>
          <w:szCs w:val="32"/>
          <w:u w:val="none"/>
        </w:rPr>
        <w:t>（一）夯实工业大盘。</w:t>
      </w:r>
      <w:r>
        <w:rPr>
          <w:rFonts w:hint="eastAsia" w:ascii="仿宋_GB2312" w:hAnsi="仿宋_GB2312" w:eastAsia="仿宋_GB2312" w:cs="仿宋_GB2312"/>
          <w:sz w:val="32"/>
          <w:szCs w:val="32"/>
        </w:rPr>
        <w:t>主要抓3个方面：①</w:t>
      </w:r>
      <w:r>
        <w:rPr>
          <w:rFonts w:hint="eastAsia" w:ascii="仿宋_GB2312" w:hAnsi="仿宋_GB2312" w:eastAsia="仿宋_GB2312" w:cs="仿宋_GB2312"/>
          <w:b/>
          <w:sz w:val="32"/>
          <w:szCs w:val="32"/>
        </w:rPr>
        <w:t>加强运行监测调度。</w:t>
      </w:r>
      <w:r>
        <w:rPr>
          <w:rFonts w:hint="eastAsia" w:ascii="仿宋_GB2312" w:hAnsi="仿宋_GB2312" w:eastAsia="仿宋_GB2312" w:cs="仿宋_GB2312"/>
          <w:sz w:val="32"/>
          <w:szCs w:val="32"/>
        </w:rPr>
        <w:t>会同晋江经济报等媒体跟踪行业运行动态，编印《晋江产业观察》内部资料，为政府决策提供依据；强化市、镇两级联动，加强对龙头企业、高成长企业动态监测，综合研判产值、用电、用热等要素信息匹配，实施精准运行调度，重点做好停减产企业及用电、用气、用热等生产要素下降企业的跟踪服务。今年，省经信委建立工业企业服务云平台并做专门部署，具体文件已作为会议材料已印发到各镇街，请各镇街鼓励和引导辖区内规上企业积极入驻云平台、上报运行数据，对数据直报工作配合情况良好的企业，各级经信部门将在相关资金、项目安排、政策落实、要素保障、认定龙头、高成长企业等方面给予更精准的服务。②</w:t>
      </w:r>
      <w:r>
        <w:rPr>
          <w:rFonts w:hint="eastAsia" w:ascii="仿宋_GB2312" w:hAnsi="仿宋_GB2312" w:eastAsia="仿宋_GB2312" w:cs="仿宋_GB2312"/>
          <w:b/>
          <w:sz w:val="32"/>
          <w:szCs w:val="32"/>
        </w:rPr>
        <w:t>确保目标任务落实。</w:t>
      </w:r>
      <w:r>
        <w:rPr>
          <w:rFonts w:hint="eastAsia" w:ascii="仿宋_GB2312" w:hAnsi="仿宋_GB2312" w:eastAsia="仿宋_GB2312" w:cs="仿宋_GB2312"/>
          <w:sz w:val="32"/>
          <w:szCs w:val="32"/>
        </w:rPr>
        <w:t>2018年全市规上工业产值要增长13.6%，按调整后的基数折算需增长16.8%，细分到镇域平均增幅要达到17%；工业固投要增长13%，按调整后的基数折算需增长48%。近期，市委、市政府将下发具体指标分解方案，各镇域要增强大局意识、责任意识和进度意识，将各自任务落实到具体的项目和支撑点上，同时抓好监测调度，确保按序时进度完成各自目标任务。③</w:t>
      </w:r>
      <w:r>
        <w:rPr>
          <w:rFonts w:hint="eastAsia" w:ascii="仿宋_GB2312" w:hAnsi="仿宋_GB2312" w:eastAsia="仿宋_GB2312" w:cs="仿宋_GB2312"/>
          <w:b/>
          <w:sz w:val="32"/>
          <w:szCs w:val="32"/>
        </w:rPr>
        <w:t>完善产业扶持政策。</w:t>
      </w:r>
      <w:r>
        <w:rPr>
          <w:rFonts w:hint="eastAsia" w:ascii="仿宋_GB2312" w:hAnsi="仿宋_GB2312" w:eastAsia="仿宋_GB2312" w:cs="仿宋_GB2312"/>
          <w:sz w:val="32"/>
          <w:szCs w:val="32"/>
        </w:rPr>
        <w:t>聚焦纺织、制鞋、机械、食品、陶瓷等传统优势产业，围绕五张路线图，实施产业创新跃升专项行动，更加细化明确目标、路径，落实政策措施，加快推动产业转型升级。贯彻落实好2017年修订出台的产业扶持政策的同时，主动对接各级产业扶持政策，加强政策实施效果评估，适度调整和完善惠企政策体系，提高产业政策扶持的精准度。</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（二）狠抓项目带动。</w:t>
      </w:r>
      <w:r>
        <w:rPr>
          <w:rFonts w:hint="eastAsia" w:ascii="仿宋_GB2312" w:hAnsi="仿宋_GB2312" w:eastAsia="仿宋_GB2312" w:cs="仿宋_GB2312"/>
          <w:sz w:val="32"/>
          <w:szCs w:val="32"/>
        </w:rPr>
        <w:t>主要抓3个方面：①</w:t>
      </w:r>
      <w:r>
        <w:rPr>
          <w:rFonts w:hint="eastAsia" w:ascii="仿宋_GB2312" w:hAnsi="仿宋_GB2312" w:eastAsia="仿宋_GB2312" w:cs="仿宋_GB2312"/>
          <w:b/>
          <w:sz w:val="32"/>
          <w:szCs w:val="32"/>
        </w:rPr>
        <w:t>抓好技术改造投资。</w:t>
      </w:r>
      <w:r>
        <w:rPr>
          <w:rFonts w:hint="eastAsia" w:ascii="仿宋_GB2312" w:hAnsi="仿宋_GB2312" w:eastAsia="仿宋_GB2312" w:cs="仿宋_GB2312"/>
          <w:sz w:val="32"/>
          <w:szCs w:val="32"/>
        </w:rPr>
        <w:t>贯彻落实市委、市政府“项目攻坚2018”部署，紧抓技术改造项目抓手。去年底以来，全市共征集2018年重点技改项目271个，年度计划投资106.9亿元，请各镇域重点做好跟踪服务，特别是从政策上予以引导支持，目前除晋江本级技改扶持政策外，还有省技改基金、省技改补助、省技改投产奖励、泉州市技改补助等其他政策，请各镇域要加强政策宣传解读，充分发挥政策叠加效应，加快促成企业技改增资投产达效。②</w:t>
      </w:r>
      <w:r>
        <w:rPr>
          <w:rFonts w:hint="eastAsia" w:ascii="仿宋_GB2312" w:hAnsi="仿宋_GB2312" w:eastAsia="仿宋_GB2312" w:cs="仿宋_GB2312"/>
          <w:b/>
          <w:sz w:val="32"/>
          <w:szCs w:val="32"/>
        </w:rPr>
        <w:t>促成重大项目落地。</w:t>
      </w:r>
      <w:r>
        <w:rPr>
          <w:rFonts w:hint="eastAsia" w:ascii="仿宋_GB2312" w:hAnsi="仿宋_GB2312" w:eastAsia="仿宋_GB2312" w:cs="仿宋_GB2312"/>
          <w:sz w:val="32"/>
          <w:szCs w:val="32"/>
        </w:rPr>
        <w:t>会同商务等部门对重大工业项目从签约、开工到建成投产实行动态跟踪、全程服务，推动更多大项目和优质企业落户晋江。重点要全力保障和推动晋华集成电路项目，力争全年完成投资135亿元以上，在年底前顺利试产，带动矽品、芝奇等产业链配套项目加快投建，构建“设计—制造—封装测试—装备材料—终端应用”全产业链，打造晋江新兴产业新支撑点。③</w:t>
      </w:r>
      <w:r>
        <w:rPr>
          <w:rFonts w:hint="eastAsia" w:ascii="仿宋_GB2312" w:hAnsi="仿宋_GB2312" w:eastAsia="仿宋_GB2312" w:cs="仿宋_GB2312"/>
          <w:b/>
          <w:sz w:val="32"/>
          <w:szCs w:val="32"/>
        </w:rPr>
        <w:t>培育信息产业项目。</w:t>
      </w:r>
      <w:r>
        <w:rPr>
          <w:rFonts w:hint="eastAsia" w:ascii="仿宋_GB2312" w:hAnsi="仿宋_GB2312" w:eastAsia="仿宋_GB2312" w:cs="仿宋_GB2312"/>
          <w:sz w:val="32"/>
          <w:szCs w:val="32"/>
        </w:rPr>
        <w:t>策划生成软件和信息服务业项目，探索在退二进三镇域的楼宇经济体打造软件和信息服务业孵化器，引进和孵化创业创新项目，协助做好孵化器公共服务和项目策划引进等工作，推动信息产业加快发展。推进智慧晋江项目建设进度，重点加快推进“云网端”信息基础设施建设，启动“智慧晋江”运营管理中心建设，策划启动信息共享平台建设，提高城市智慧应用水平。</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（三）加快转型升级。</w:t>
      </w:r>
      <w:r>
        <w:rPr>
          <w:rFonts w:hint="eastAsia" w:ascii="仿宋_GB2312" w:hAnsi="仿宋_GB2312" w:eastAsia="仿宋_GB2312" w:cs="仿宋_GB2312"/>
          <w:sz w:val="32"/>
          <w:szCs w:val="32"/>
        </w:rPr>
        <w:t>主要抓好4个方面：①</w:t>
      </w:r>
      <w:r>
        <w:rPr>
          <w:rFonts w:hint="eastAsia" w:ascii="仿宋_GB2312" w:hAnsi="仿宋_GB2312" w:eastAsia="仿宋_GB2312" w:cs="仿宋_GB2312"/>
          <w:b/>
          <w:sz w:val="32"/>
          <w:szCs w:val="32"/>
        </w:rPr>
        <w:t>智能制造。</w:t>
      </w:r>
      <w:r>
        <w:rPr>
          <w:rFonts w:hint="eastAsia" w:ascii="仿宋_GB2312" w:hAnsi="仿宋_GB2312" w:eastAsia="仿宋_GB2312" w:cs="仿宋_GB2312"/>
          <w:sz w:val="32"/>
          <w:szCs w:val="32"/>
        </w:rPr>
        <w:t>对接中科院海西研究院、福大晋江研究院等公共服务平台资源，鼓励晋江本地企业与国内科研机构合作对接，</w:t>
      </w:r>
      <w:r>
        <w:rPr>
          <w:rFonts w:hint="eastAsia" w:ascii="仿宋_GB2312" w:hAnsi="仿宋_GB2312" w:eastAsia="仿宋_GB2312" w:cs="仿宋_GB2312"/>
          <w:kern w:val="0"/>
          <w:sz w:val="32"/>
          <w:szCs w:val="32"/>
        </w:rPr>
        <w:t>适时选取优秀示范企业，分行业召开各类现场会、推介会、交流会</w:t>
      </w:r>
      <w:r>
        <w:rPr>
          <w:rFonts w:hint="eastAsia" w:ascii="仿宋_GB2312" w:hAnsi="仿宋_GB2312" w:eastAsia="仿宋_GB2312" w:cs="仿宋_GB2312"/>
          <w:sz w:val="32"/>
          <w:szCs w:val="32"/>
        </w:rPr>
        <w:t>，带动更多企业实施智能化改造升级，争取新增2-3个以上国家级智能专项，自动化数字化制造推广应用率达45%以上。②</w:t>
      </w:r>
      <w:r>
        <w:rPr>
          <w:rFonts w:hint="eastAsia" w:ascii="仿宋_GB2312" w:hAnsi="仿宋_GB2312" w:eastAsia="仿宋_GB2312" w:cs="仿宋_GB2312"/>
          <w:b/>
          <w:sz w:val="32"/>
          <w:szCs w:val="32"/>
        </w:rPr>
        <w:t>两化融合。</w:t>
      </w:r>
      <w:r>
        <w:rPr>
          <w:rFonts w:hint="eastAsia" w:ascii="仿宋_GB2312" w:hAnsi="仿宋_GB2312" w:eastAsia="仿宋_GB2312" w:cs="仿宋_GB2312"/>
          <w:sz w:val="32"/>
          <w:szCs w:val="32"/>
        </w:rPr>
        <w:t>推进两化融合管理体系贯标试点工作，以管理体系的思路和方式系统推进两化融合，全面规范和促进企业管理提升。推进两化融合重点项目建设，发挥典型示范作用，积累并推广可复制的两化融合先进管理经验，鼓励和引导更多企业不断深化信息化建设。③</w:t>
      </w:r>
      <w:r>
        <w:rPr>
          <w:rFonts w:hint="eastAsia" w:ascii="仿宋_GB2312" w:hAnsi="仿宋_GB2312" w:eastAsia="仿宋_GB2312" w:cs="仿宋_GB2312"/>
          <w:b/>
          <w:sz w:val="32"/>
          <w:szCs w:val="32"/>
        </w:rPr>
        <w:t>技术转化。</w:t>
      </w:r>
      <w:r>
        <w:rPr>
          <w:rFonts w:hint="eastAsia" w:ascii="仿宋_GB2312" w:hAnsi="仿宋_GB2312" w:eastAsia="仿宋_GB2312" w:cs="仿宋_GB2312"/>
          <w:sz w:val="32"/>
          <w:szCs w:val="32"/>
        </w:rPr>
        <w:t>常态化开展高新技术产业化对接活动，举办8-10场高新技术产业化对接会，充分发挥驻晋科研平台作用，引导企业对接最新科研成果，促进高新技术成果落地产业化，打造“永不落幕”的高新技术对接平台。目前，我局依托“晋江市经信局”微信公众号掌上服务频道设立企业技术需求对接渠道，请各镇街协助做好宣传引导。④</w:t>
      </w:r>
      <w:r>
        <w:rPr>
          <w:rFonts w:hint="eastAsia" w:ascii="仿宋_GB2312" w:hAnsi="仿宋_GB2312" w:eastAsia="仿宋_GB2312" w:cs="仿宋_GB2312"/>
          <w:b/>
          <w:sz w:val="32"/>
          <w:szCs w:val="32"/>
        </w:rPr>
        <w:t>军民融合。</w:t>
      </w:r>
      <w:r>
        <w:rPr>
          <w:rFonts w:hint="eastAsia" w:ascii="仿宋_GB2312" w:hAnsi="仿宋_GB2312" w:eastAsia="仿宋_GB2312" w:cs="仿宋_GB2312"/>
          <w:sz w:val="32"/>
          <w:szCs w:val="32"/>
        </w:rPr>
        <w:t>鼓励“军转民”“民参军”，支持优势企业进入“大防务、大安全”武器装备科研生产及维修领域，对接大央企军工集团和科研院所，重点在装备制造、新材料、集成电路芯片和信息安全等产业融合发展取得突破</w:t>
      </w:r>
      <w:r>
        <w:rPr>
          <w:rFonts w:hint="eastAsia" w:ascii="仿宋_GB2312" w:hAnsi="仿宋_GB2312" w:eastAsia="仿宋_GB2312" w:cs="仿宋_GB2312"/>
          <w:bCs/>
          <w:sz w:val="32"/>
          <w:szCs w:val="32"/>
        </w:rPr>
        <w:t>，力争1-2个军民融合项目在晋落地转化。</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（四）培育增长动能。</w:t>
      </w:r>
      <w:r>
        <w:rPr>
          <w:rFonts w:hint="eastAsia" w:ascii="仿宋_GB2312" w:hAnsi="仿宋_GB2312" w:eastAsia="仿宋_GB2312" w:cs="仿宋_GB2312"/>
          <w:sz w:val="32"/>
          <w:szCs w:val="32"/>
        </w:rPr>
        <w:t>主要抓好4个方面：①</w:t>
      </w:r>
      <w:r>
        <w:rPr>
          <w:rFonts w:hint="eastAsia" w:ascii="仿宋_GB2312" w:hAnsi="仿宋_GB2312" w:eastAsia="仿宋_GB2312" w:cs="仿宋_GB2312"/>
          <w:b/>
          <w:sz w:val="32"/>
          <w:szCs w:val="32"/>
        </w:rPr>
        <w:t>龙头企业。</w:t>
      </w:r>
      <w:r>
        <w:rPr>
          <w:rFonts w:hint="eastAsia" w:ascii="仿宋_GB2312" w:hAnsi="仿宋_GB2312" w:eastAsia="仿宋_GB2312" w:cs="仿宋_GB2312"/>
          <w:sz w:val="32"/>
          <w:szCs w:val="32"/>
          <w:shd w:val="clear" w:color="auto" w:fill="FFFFFF"/>
        </w:rPr>
        <w:t>充分发挥龙头企业的支撑带动作用，实施龙头企业促进计划，支持和引导现有的龙头企业通过资本运作、股权投资、渠道整合、技术创新等方式创新转型，推动龙头企业做大做优做强。②</w:t>
      </w:r>
      <w:r>
        <w:rPr>
          <w:rFonts w:hint="eastAsia" w:ascii="仿宋_GB2312" w:hAnsi="仿宋_GB2312" w:eastAsia="仿宋_GB2312" w:cs="仿宋_GB2312"/>
          <w:b/>
          <w:sz w:val="32"/>
          <w:szCs w:val="32"/>
        </w:rPr>
        <w:t>专精特新企业。</w:t>
      </w:r>
      <w:r>
        <w:rPr>
          <w:rFonts w:hint="eastAsia" w:ascii="仿宋_GB2312" w:hAnsi="仿宋_GB2312" w:eastAsia="仿宋_GB2312" w:cs="仿宋_GB2312"/>
          <w:sz w:val="32"/>
          <w:szCs w:val="32"/>
        </w:rPr>
        <w:t>探索出台“专精特新”企业评定机制，综合评估筛选一批细分领域的高成长型企业，扶持其做深做细做精。③</w:t>
      </w:r>
      <w:r>
        <w:rPr>
          <w:rFonts w:hint="eastAsia" w:ascii="仿宋_GB2312" w:hAnsi="仿宋_GB2312" w:eastAsia="仿宋_GB2312" w:cs="仿宋_GB2312"/>
          <w:b/>
          <w:sz w:val="32"/>
          <w:szCs w:val="32"/>
        </w:rPr>
        <w:t>产业联盟。</w:t>
      </w:r>
      <w:r>
        <w:rPr>
          <w:rFonts w:hint="eastAsia" w:ascii="仿宋_GB2312" w:hAnsi="仿宋_GB2312" w:eastAsia="仿宋_GB2312" w:cs="仿宋_GB2312"/>
          <w:sz w:val="32"/>
        </w:rPr>
        <w:t>整合设立产业联盟，发展“版地经济”、“共享工厂”，整合境内外优质创意研发资源、全网销售资源、大数据资源，推动联盟成员在研发创新、生产制造、渠道营销上实现资源共享、优势互补。④</w:t>
      </w:r>
      <w:r>
        <w:rPr>
          <w:rFonts w:hint="eastAsia" w:ascii="仿宋_GB2312" w:hAnsi="仿宋_GB2312" w:eastAsia="仿宋_GB2312" w:cs="仿宋_GB2312"/>
          <w:b/>
          <w:sz w:val="32"/>
        </w:rPr>
        <w:t>平台经济。</w:t>
      </w:r>
      <w:r>
        <w:rPr>
          <w:rFonts w:hint="eastAsia" w:ascii="仿宋_GB2312" w:hAnsi="仿宋_GB2312" w:eastAsia="仿宋_GB2312" w:cs="仿宋_GB2312"/>
          <w:sz w:val="32"/>
          <w:szCs w:val="32"/>
        </w:rPr>
        <w:t>深化推进“制造业+互联网”融合发展，支持产业集群和龙头企业牵头搭建行业大数据平台，着力打造基于互联网环境的制造业大数据生态；围绕打造互联网鞋业区域化链条试点，探索策划推动中皮院、鞋纺城、一品嘉三方合作，实现“技术—市场—平台”相融合，建设基于互联网的新型供应链生态圈。</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（五）推动创新发展。</w:t>
      </w:r>
      <w:r>
        <w:rPr>
          <w:rFonts w:hint="eastAsia" w:ascii="仿宋_GB2312" w:hAnsi="仿宋_GB2312" w:eastAsia="仿宋_GB2312" w:cs="仿宋_GB2312"/>
          <w:sz w:val="32"/>
          <w:szCs w:val="32"/>
        </w:rPr>
        <w:t>主要抓2个方面：①</w:t>
      </w:r>
      <w:r>
        <w:rPr>
          <w:rFonts w:hint="eastAsia" w:ascii="仿宋_GB2312" w:hAnsi="仿宋_GB2312" w:eastAsia="仿宋_GB2312" w:cs="仿宋_GB2312"/>
          <w:b/>
          <w:sz w:val="32"/>
          <w:szCs w:val="32"/>
        </w:rPr>
        <w:t>绿色制造。</w:t>
      </w:r>
      <w:r>
        <w:rPr>
          <w:rFonts w:hint="eastAsia" w:ascii="仿宋_GB2312" w:hAnsi="仿宋_GB2312" w:eastAsia="仿宋_GB2312" w:cs="仿宋_GB2312"/>
          <w:sz w:val="32"/>
          <w:szCs w:val="32"/>
        </w:rPr>
        <w:t>实施绿色制造工程，加快绿色制造建设，鼓励使用绿色环保建材、节能减排设施和节能技术，组织推荐符合条件的企业申报绿色制造体系建设示范，促进绿色制造技术推广应用。全力开展燃煤锅炉节能减排攻坚战，推进综合能效提升、减少污染物排放，全面化解晋江市城市建成区煤锅炉污染问题，争取2018年全面推进建成区燃煤锅炉节能环保综合提升138台、合计487.07蒸吨。健全完善打击“地条钢”的长效机制，继续开展</w:t>
      </w:r>
      <w:r>
        <w:rPr>
          <w:rFonts w:hint="eastAsia" w:ascii="仿宋_GB2312" w:hAnsi="仿宋_GB2312" w:eastAsia="仿宋_GB2312" w:cs="仿宋_GB2312"/>
          <w:sz w:val="32"/>
        </w:rPr>
        <w:t>回潮生产石材企业综合治理，</w:t>
      </w:r>
      <w:r>
        <w:rPr>
          <w:rFonts w:hint="eastAsia" w:ascii="仿宋_GB2312" w:hAnsi="仿宋_GB2312" w:eastAsia="仿宋_GB2312" w:cs="仿宋_GB2312"/>
          <w:sz w:val="32"/>
          <w:szCs w:val="32"/>
        </w:rPr>
        <w:t>落实相关奖补政策，确保落后产能应退尽退、不再死灰复燃。②</w:t>
      </w:r>
      <w:r>
        <w:rPr>
          <w:rFonts w:hint="eastAsia" w:ascii="仿宋_GB2312" w:hAnsi="仿宋_GB2312" w:eastAsia="仿宋_GB2312" w:cs="仿宋_GB2312"/>
          <w:b/>
          <w:sz w:val="32"/>
          <w:szCs w:val="32"/>
        </w:rPr>
        <w:t>服务型制造。</w:t>
      </w:r>
      <w:r>
        <w:rPr>
          <w:rFonts w:hint="eastAsia" w:ascii="仿宋_GB2312" w:hAnsi="仿宋_GB2312" w:eastAsia="仿宋_GB2312" w:cs="仿宋_GB2312"/>
          <w:sz w:val="32"/>
          <w:szCs w:val="32"/>
        </w:rPr>
        <w:t>培育服务制造型分类试点企业，积极培育发展工业设计、个性化定制、供应链服务、产品全生命周期管理、网络营销和提供技术解决方案等服务制造产业，促进制造业在服务中收益、增值和创新。继续举办“海峡杯”工业设计大赛、“海峡两岸大学生设计营”等活动，会同省工业设计协会、晋江市工业设计与时尚创意协会做大做强“福建省工业设计（晋江）公共服务平台”，创建有影响力的工业设计活动品牌，并跟踪推动促成一系列优秀的作品、设计人才与晋江本地企业对接转化。</w:t>
      </w:r>
    </w:p>
    <w:p>
      <w:pPr>
        <w:adjustRightInd w:val="0"/>
        <w:spacing w:line="52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（六）促进提质增效。</w:t>
      </w:r>
      <w:r>
        <w:rPr>
          <w:rFonts w:hint="eastAsia" w:ascii="仿宋_GB2312" w:hAnsi="仿宋_GB2312" w:eastAsia="仿宋_GB2312" w:cs="仿宋_GB2312"/>
          <w:sz w:val="32"/>
          <w:szCs w:val="32"/>
        </w:rPr>
        <w:t>主要抓好5个方面：</w:t>
      </w:r>
      <w:r>
        <w:rPr>
          <w:rFonts w:hint="eastAsia" w:ascii="仿宋_GB2312" w:hAnsi="仿宋_GB2312" w:eastAsia="仿宋_GB2312" w:cs="仿宋_GB2312"/>
          <w:bCs/>
          <w:kern w:val="0"/>
          <w:sz w:val="32"/>
          <w:szCs w:val="32"/>
        </w:rPr>
        <w:t>①</w:t>
      </w:r>
      <w:r>
        <w:rPr>
          <w:rFonts w:hint="eastAsia" w:ascii="仿宋_GB2312" w:hAnsi="仿宋_GB2312" w:eastAsia="仿宋_GB2312" w:cs="仿宋_GB2312"/>
          <w:b/>
          <w:bCs/>
          <w:kern w:val="0"/>
          <w:sz w:val="32"/>
          <w:szCs w:val="32"/>
        </w:rPr>
        <w:t>推动小微企业规下转规上。</w:t>
      </w:r>
      <w:r>
        <w:rPr>
          <w:rFonts w:hint="eastAsia" w:ascii="仿宋_GB2312" w:hAnsi="仿宋_GB2312" w:eastAsia="仿宋_GB2312" w:cs="仿宋_GB2312"/>
          <w:sz w:val="32"/>
          <w:szCs w:val="32"/>
        </w:rPr>
        <w:t>认真贯彻落实各级推进中小微企业发展的工作部署，深入实施中小企业成长工程，确定一批具有成长性的小微企业，重点加强扶持和培育，促其发展壮大，为规模以上企业输送后备力量，争取年底新增80家以上规下转规上企业。②</w:t>
      </w:r>
      <w:r>
        <w:rPr>
          <w:rFonts w:hint="eastAsia" w:ascii="仿宋_GB2312" w:hAnsi="仿宋_GB2312" w:eastAsia="仿宋_GB2312" w:cs="仿宋_GB2312"/>
          <w:b/>
          <w:sz w:val="32"/>
          <w:szCs w:val="32"/>
        </w:rPr>
        <w:t>实施产业协作配套。</w:t>
      </w:r>
      <w:r>
        <w:rPr>
          <w:rFonts w:hint="eastAsia" w:ascii="仿宋_GB2312" w:hAnsi="仿宋_GB2312" w:eastAsia="仿宋_GB2312" w:cs="仿宋_GB2312"/>
          <w:sz w:val="32"/>
          <w:szCs w:val="32"/>
        </w:rPr>
        <w:t>继续落实产业龙头企业与中小微企业的协作配套鼓励措施，通过龙头企业委托代工奖励、小微企业为龙头企业配套加工等双向配套扶持政策，支持和引导中小微企业融入龙头企业供应链，实现龙头企业、小微企业协同发展。③</w:t>
      </w:r>
      <w:r>
        <w:rPr>
          <w:rFonts w:hint="eastAsia" w:ascii="仿宋_GB2312" w:hAnsi="仿宋_GB2312" w:eastAsia="仿宋_GB2312" w:cs="仿宋_GB2312"/>
          <w:b/>
          <w:sz w:val="32"/>
          <w:szCs w:val="32"/>
        </w:rPr>
        <w:t>加强企业家队伍建设。</w:t>
      </w:r>
      <w:r>
        <w:rPr>
          <w:rFonts w:hint="eastAsia" w:ascii="仿宋_GB2312" w:hAnsi="仿宋_GB2312" w:eastAsia="仿宋_GB2312" w:cs="仿宋_GB2312"/>
          <w:sz w:val="32"/>
          <w:szCs w:val="32"/>
        </w:rPr>
        <w:t>贯彻落实泉州、晋江两级企业家素质提升行动部署，针对不同对象各有侧重地策划开展提升企业家系列活动，建设一支具有全球化视野、锐意改革创新、勇于做大做强的企业家队伍，力争全年举办60场（次）以上企业家培训活动、培训企业家及企业高级经营管理人员3000人次以上。④</w:t>
      </w:r>
      <w:r>
        <w:rPr>
          <w:rFonts w:hint="eastAsia" w:ascii="仿宋_GB2312" w:hAnsi="仿宋_GB2312" w:eastAsia="仿宋_GB2312" w:cs="仿宋_GB2312"/>
          <w:b/>
          <w:sz w:val="32"/>
          <w:szCs w:val="32"/>
        </w:rPr>
        <w:t>鼓励实施管理创新。</w:t>
      </w:r>
      <w:r>
        <w:rPr>
          <w:rFonts w:hint="eastAsia" w:ascii="仿宋_GB2312" w:hAnsi="仿宋_GB2312" w:eastAsia="仿宋_GB2312" w:cs="仿宋_GB2312"/>
          <w:sz w:val="32"/>
          <w:szCs w:val="32"/>
        </w:rPr>
        <w:t>鼓励企业聘请专业管理咨询机构深入企业开展管理咨询“义诊”，支持企业经营管理人员参加精益管理等培训，为企业提供解决问题的思路和方法，提升企业经营者的经营管理水平。⑤</w:t>
      </w:r>
      <w:r>
        <w:rPr>
          <w:rFonts w:hint="eastAsia" w:ascii="仿宋_GB2312" w:hAnsi="仿宋_GB2312" w:eastAsia="仿宋_GB2312" w:cs="仿宋_GB2312"/>
          <w:b/>
          <w:sz w:val="32"/>
          <w:szCs w:val="32"/>
        </w:rPr>
        <w:t>推进企业减负工作。</w:t>
      </w:r>
      <w:r>
        <w:rPr>
          <w:rFonts w:hint="eastAsia" w:ascii="仿宋_GB2312" w:hAnsi="仿宋_GB2312" w:eastAsia="仿宋_GB2312" w:cs="仿宋_GB2312"/>
          <w:sz w:val="32"/>
          <w:szCs w:val="32"/>
        </w:rPr>
        <w:t>贯彻落实各级降低企业成本减轻企业负担文件精神，重点鼓励企业参与2018年电力直接交易活动，跟踪用能成本动态，继续策划银企对接活动等，切实帮助企业减轻负担。</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（七）建设高效队伍。</w:t>
      </w:r>
      <w:r>
        <w:rPr>
          <w:rFonts w:hint="eastAsia" w:ascii="仿宋_GB2312" w:hAnsi="仿宋_GB2312" w:eastAsia="仿宋_GB2312" w:cs="仿宋_GB2312"/>
          <w:sz w:val="32"/>
          <w:szCs w:val="32"/>
        </w:rPr>
        <w:t>主要抓3个方面：</w:t>
      </w:r>
      <w:r>
        <w:rPr>
          <w:rFonts w:hint="eastAsia" w:ascii="仿宋_GB2312" w:hAnsi="仿宋_GB2312" w:eastAsia="仿宋_GB2312" w:cs="仿宋_GB2312"/>
          <w:bCs/>
          <w:sz w:val="32"/>
          <w:szCs w:val="32"/>
        </w:rPr>
        <w:t>①</w:t>
      </w:r>
      <w:r>
        <w:rPr>
          <w:rFonts w:hint="eastAsia" w:ascii="仿宋_GB2312" w:hAnsi="仿宋_GB2312" w:eastAsia="仿宋_GB2312" w:cs="仿宋_GB2312"/>
          <w:b/>
          <w:bCs/>
          <w:sz w:val="32"/>
          <w:szCs w:val="32"/>
        </w:rPr>
        <w:t>抓好机关党建。</w:t>
      </w:r>
      <w:r>
        <w:rPr>
          <w:rFonts w:hint="eastAsia" w:ascii="仿宋_GB2312" w:hAnsi="仿宋_GB2312" w:eastAsia="仿宋_GB2312" w:cs="仿宋_GB2312"/>
          <w:sz w:val="32"/>
          <w:szCs w:val="32"/>
        </w:rPr>
        <w:t>要把学习贯彻十九大精神引向深入，持续推进“两学一做”学习教育常态化制度化，严肃党内政治生活，严格落实“三会一课”、谈心谈话、民主评议党员等党的组织生活制度，确保各项党建工作落到实处。</w:t>
      </w:r>
      <w:r>
        <w:rPr>
          <w:rFonts w:hint="eastAsia" w:ascii="仿宋_GB2312" w:hAnsi="仿宋_GB2312" w:eastAsia="仿宋_GB2312" w:cs="仿宋_GB2312"/>
          <w:bCs/>
          <w:sz w:val="32"/>
          <w:szCs w:val="32"/>
        </w:rPr>
        <w:t>②</w:t>
      </w:r>
      <w:r>
        <w:rPr>
          <w:rFonts w:hint="eastAsia" w:ascii="仿宋_GB2312" w:hAnsi="仿宋_GB2312" w:eastAsia="仿宋_GB2312" w:cs="仿宋_GB2312"/>
          <w:b/>
          <w:bCs/>
          <w:sz w:val="32"/>
          <w:szCs w:val="32"/>
        </w:rPr>
        <w:t>加强干部培养。</w:t>
      </w:r>
      <w:r>
        <w:rPr>
          <w:rFonts w:hint="eastAsia" w:ascii="仿宋_GB2312" w:hAnsi="仿宋_GB2312" w:eastAsia="仿宋_GB2312" w:cs="仿宋_GB2312"/>
          <w:sz w:val="32"/>
          <w:szCs w:val="32"/>
        </w:rPr>
        <w:t>巩固和发展作风建设的良好态势，把严格管理监督干部与信任关心爱护干部结合起来，让经信干部多走出办公室，多下基层、进企业、进车间，把制定政策、谋划工作、推动发展的着眼点和落脚点都落到基层、企业中去，真正成为推动经济发展的行家里手。</w:t>
      </w:r>
      <w:r>
        <w:rPr>
          <w:rFonts w:hint="eastAsia" w:ascii="仿宋_GB2312" w:hAnsi="仿宋_GB2312" w:eastAsia="仿宋_GB2312" w:cs="仿宋_GB2312"/>
          <w:bCs/>
          <w:sz w:val="32"/>
          <w:szCs w:val="32"/>
        </w:rPr>
        <w:t>③</w:t>
      </w:r>
      <w:r>
        <w:rPr>
          <w:rFonts w:hint="eastAsia" w:ascii="仿宋_GB2312" w:hAnsi="仿宋_GB2312" w:eastAsia="仿宋_GB2312" w:cs="仿宋_GB2312"/>
          <w:b/>
          <w:bCs/>
          <w:sz w:val="32"/>
          <w:szCs w:val="32"/>
        </w:rPr>
        <w:t>强化正风肃纪。</w:t>
      </w:r>
      <w:r>
        <w:rPr>
          <w:rFonts w:hint="eastAsia" w:ascii="仿宋_GB2312" w:hAnsi="仿宋_GB2312" w:eastAsia="仿宋_GB2312" w:cs="仿宋_GB2312"/>
          <w:sz w:val="32"/>
          <w:szCs w:val="32"/>
        </w:rPr>
        <w:t>认真落实中央八项规定精神，着力解决“四风”问题，特别是重点解决形式主义、官僚主义新表现、旧顽疾，推动广大干部深入基层调查研究、真心实意服务企业、“对症下药”解决难题。要严格按照“五抓五看”、“五抓五重”要求，认真落实党风廉政建设“两个责任”，深化廉政教育，抓早抓小、防微杜渐，教育引导干部职工时刻绷紧法纪这根弦，与企业交往中做到亲近不逾矩、清廉不懈怠，积极构建“亲、清”新型政商关系，树立清正廉洁、敬业勤勉的经信干部良好形象。</w:t>
      </w:r>
    </w:p>
    <w:p>
      <w:pPr>
        <w:tabs>
          <w:tab w:val="left" w:pos="7513"/>
        </w:tabs>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四、预算收支总体情况</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的原则，部门所有收入和支出均纳入部门预算管理。2018年,经信部门收入预算为8071.21万元，比上年增加5833.52万元，主要原因是新增企业补助资金5479万元和下属留守处工作经费99万元及服务对象专项补助费用340万元、企业管理服务专项40万元、创建各类专业基地项目经费30万元及工资福利等费用，同时减少产业提升专项经费80万元、外经贸大厦安全隐患整改200万元等项目费用。其中：一般公共预算拨款7632.21万元，基金预算财政拨款439万元,财政专户拨款0万元,其他收入0万元,单位结余结转资金0万元。相应安排支出预算8071.21万元，比上年增加5833.52万元，其中：人员支出704.48万元，对个人和家庭补助支出9.72万元，公用支出77.01万元，项目支出7280万元。</w:t>
      </w:r>
    </w:p>
    <w:p>
      <w:pPr>
        <w:tabs>
          <w:tab w:val="left" w:pos="7513"/>
        </w:tabs>
        <w:adjustRightInd w:val="0"/>
        <w:snapToGrid w:val="0"/>
        <w:spacing w:line="600" w:lineRule="exact"/>
        <w:ind w:firstLine="640" w:firstLineChars="200"/>
        <w:rPr>
          <w:rFonts w:ascii="黑体" w:hAnsi="黑体" w:eastAsia="黑体"/>
          <w:bCs/>
          <w:sz w:val="32"/>
          <w:szCs w:val="32"/>
        </w:rPr>
      </w:pPr>
      <w:r>
        <w:rPr>
          <w:rFonts w:hint="eastAsia" w:ascii="黑体" w:hAnsi="黑体" w:eastAsia="黑体" w:cs="仿宋_GB2312"/>
          <w:bCs/>
          <w:sz w:val="32"/>
          <w:szCs w:val="32"/>
        </w:rPr>
        <w:t>五、一般公共预算拨款支出情况</w:t>
      </w:r>
    </w:p>
    <w:p>
      <w:pPr>
        <w:tabs>
          <w:tab w:val="left" w:pos="7513"/>
        </w:tabs>
        <w:adjustRightInd w:val="0"/>
        <w:snapToGrid w:val="0"/>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2018</w:t>
      </w:r>
      <w:r>
        <w:rPr>
          <w:rFonts w:hint="eastAsia" w:ascii="仿宋_GB2312" w:hAnsi="仿宋_GB2312" w:eastAsia="仿宋_GB2312" w:cs="仿宋_GB2312"/>
          <w:sz w:val="32"/>
          <w:szCs w:val="32"/>
        </w:rPr>
        <w:t>年度一般公共预算拨款支出7632.21万元，比上年增加5394.52万元，主要原因是新增企业补助资金5479万元、企业管理服务专项40万元、创建各类专业基地项目经费30万元及工资福利等费用，同时减少产业提升专项经费80万元、外经贸大厦安全隐患整改200万元等项目费用。主要支出项目(按项级科目分类统计)包括：</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（一）事业运行（政府办公厅（室）及相关机构事务（2010350）104.37万元。主要用于工资和福利支出。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（二）事业运行（发展与改革事务）（2010450）103.29万元。主要用于工资和福利支出。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（三）其他科学技术管理事务支出（2060199）255万元。主要用于数字晋江运营中心运维费用等支出。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（四）专项科研试制（2060304）500万元。主要用于智慧城市运营中心建设支出。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（五）机关事业单位基本养老保险缴费支出（2080505）66.62万元。主要用于机关事业单位基本养老保险缴费支出。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（六）机关事业单位职业年金缴费支出（2080506）26.65万元。主要用于机关事业单位职业年金缴费支出。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（七）行政单位医疗支出（2101101）9.45万元。主要用于行政人员医疗保险金缴费支出。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（八）事业单位医疗支出（2101102）9.03万元。主要用于事业人员医疗保险金缴费支出。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（九）事业单位医疗支出（2101103）9.19万元。主要用于公务员医疗补助缴费支出。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（十）行政运行（工业和信息产业监管支出）（2150501）228.97万元。主要用于工资和福利支出。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（十一）一般行政管理事务（工业和信息产业监管支出）（2150502）137.19万元。主要用于行政运行等支出。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（十二）机关服务（工业和信息产业监管支出）（2150503）70万元。主要用于企业管理服务专项费用支出。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（十三）工业和信息产业战略研究与标准制度（2150509）55万元。主要用于创建各类专业基地项目费用支出。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（十四）行业监管（2150513）140.02万元。主要用于工资福利费用支出。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（十五）其他工业和信息产业监管支出（2150599）10万元。主要用于节能专项费用支出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（十六）其他支持中小企业发展和管理支出（2150899）5479万元。主要用于经济发展鼓励扶持政策资金费用支出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（十七）其他商品服务业等事务支出（2169999）350万元。主要用于海峡杯工业设计大赛费用支出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（十八）住房公积金支出（2210201）78.43万元。主要用于住房公积金缴纳费用支出</w:t>
      </w:r>
    </w:p>
    <w:p>
      <w:pPr>
        <w:tabs>
          <w:tab w:val="left" w:pos="7513"/>
        </w:tabs>
        <w:adjustRightInd w:val="0"/>
        <w:snapToGrid w:val="0"/>
        <w:spacing w:line="600" w:lineRule="exact"/>
        <w:ind w:firstLine="640" w:firstLineChars="200"/>
        <w:rPr>
          <w:rFonts w:ascii="黑体" w:hAnsi="黑体" w:eastAsia="黑体"/>
          <w:bCs/>
          <w:sz w:val="32"/>
          <w:szCs w:val="32"/>
        </w:rPr>
      </w:pPr>
      <w:r>
        <w:rPr>
          <w:rFonts w:hint="eastAsia" w:ascii="黑体" w:hAnsi="黑体" w:eastAsia="黑体" w:cs="仿宋_GB2312"/>
          <w:bCs/>
          <w:sz w:val="32"/>
          <w:szCs w:val="32"/>
        </w:rPr>
        <w:t>六、政府性基金预算拨款支出情况</w:t>
      </w:r>
    </w:p>
    <w:p>
      <w:pPr>
        <w:tabs>
          <w:tab w:val="left" w:pos="7513"/>
        </w:tabs>
        <w:adjustRightInd w:val="0"/>
        <w:snapToGrid w:val="0"/>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2018</w:t>
      </w:r>
      <w:r>
        <w:rPr>
          <w:rFonts w:hint="eastAsia" w:ascii="仿宋_GB2312" w:hAnsi="仿宋_GB2312" w:eastAsia="仿宋_GB2312" w:cs="仿宋_GB2312"/>
          <w:sz w:val="32"/>
          <w:szCs w:val="32"/>
        </w:rPr>
        <w:t>年度政府性基金支出439万元，比上年增加439万元，主要原因是留守处的工作经费及服务对象专项补助费用今年开始由经信主管部门支出，主要支出项目(按项级科目分类统计)包括：</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（一）其他解决历史遗留问题及改革成本支出（2230199）439万元。主要用于留守处工作经费及服务对象专项补助费用支出</w:t>
      </w:r>
    </w:p>
    <w:p>
      <w:pPr>
        <w:tabs>
          <w:tab w:val="left" w:pos="7513"/>
        </w:tabs>
        <w:adjustRightInd w:val="0"/>
        <w:snapToGrid w:val="0"/>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七、财政拨款预算</w:t>
      </w:r>
      <w:r>
        <w:rPr>
          <w:rFonts w:hint="eastAsia" w:ascii="黑体" w:hAnsi="黑体" w:eastAsia="黑体" w:cs="仿宋_GB2312"/>
          <w:bCs/>
          <w:sz w:val="32"/>
          <w:szCs w:val="32"/>
        </w:rPr>
        <w:t>基本支出情况</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2018</w:t>
      </w:r>
      <w:r>
        <w:rPr>
          <w:rFonts w:hint="eastAsia" w:ascii="仿宋_GB2312" w:hAnsi="仿宋_GB2312" w:eastAsia="仿宋_GB2312" w:cs="仿宋_GB2312"/>
          <w:sz w:val="32"/>
          <w:szCs w:val="32"/>
        </w:rPr>
        <w:t>年度一般公共预算财政拨款基本支出791.21万元，其中：</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员经费714.2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用经费77.01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tabs>
          <w:tab w:val="left" w:pos="7513"/>
        </w:tabs>
        <w:adjustRightInd w:val="0"/>
        <w:snapToGrid w:val="0"/>
        <w:spacing w:line="600" w:lineRule="exact"/>
        <w:ind w:firstLine="640" w:firstLineChars="200"/>
        <w:rPr>
          <w:rFonts w:ascii="黑体" w:hAnsi="黑体" w:eastAsia="黑体"/>
          <w:sz w:val="32"/>
          <w:szCs w:val="32"/>
        </w:rPr>
      </w:pPr>
      <w:r>
        <w:rPr>
          <w:rFonts w:hint="eastAsia" w:ascii="黑体" w:hAnsi="黑体" w:eastAsia="黑体" w:cs="仿宋_GB2312"/>
          <w:sz w:val="32"/>
          <w:szCs w:val="32"/>
        </w:rPr>
        <w:t>八、</w:t>
      </w:r>
      <w:r>
        <w:rPr>
          <w:rFonts w:hint="eastAsia" w:ascii="黑体" w:hAnsi="黑体" w:eastAsia="黑体" w:cs="仿宋_GB2312"/>
          <w:bCs/>
          <w:sz w:val="32"/>
          <w:szCs w:val="32"/>
        </w:rPr>
        <w:t>一般公共预算</w:t>
      </w:r>
      <w:r>
        <w:rPr>
          <w:rFonts w:hint="eastAsia" w:ascii="黑体" w:hAnsi="黑体" w:eastAsia="黑体" w:cs="宋体"/>
          <w:kern w:val="0"/>
          <w:sz w:val="32"/>
          <w:szCs w:val="32"/>
        </w:rPr>
        <w:t>“三公”经费支出情况</w:t>
      </w:r>
    </w:p>
    <w:p>
      <w:pPr>
        <w:widowControl/>
        <w:adjustRightInd w:val="0"/>
        <w:snapToGrid w:val="0"/>
        <w:spacing w:line="600" w:lineRule="exact"/>
        <w:ind w:firstLine="660"/>
        <w:rPr>
          <w:rFonts w:hint="eastAsia" w:ascii="仿宋" w:hAnsi="仿宋" w:eastAsia="仿宋" w:cs="宋体"/>
          <w:kern w:val="0"/>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bCs/>
          <w:kern w:val="0"/>
          <w:sz w:val="32"/>
          <w:szCs w:val="32"/>
        </w:rPr>
        <w:t>因公出国（境）经费</w:t>
      </w:r>
      <w:r>
        <w:rPr>
          <w:rFonts w:hint="eastAsia" w:ascii="仿宋_GB2312" w:hAnsi="仿宋_GB2312" w:eastAsia="仿宋_GB2312" w:cs="仿宋_GB2312"/>
          <w:bCs/>
          <w:kern w:val="0"/>
          <w:sz w:val="32"/>
          <w:szCs w:val="32"/>
        </w:rPr>
        <w:br w:type="textWrapping"/>
      </w:r>
      <w:r>
        <w:rPr>
          <w:rFonts w:hint="eastAsia" w:ascii="仿宋" w:hAnsi="仿宋" w:eastAsia="仿宋" w:cs="宋体"/>
          <w:kern w:val="0"/>
          <w:sz w:val="32"/>
          <w:szCs w:val="32"/>
        </w:rPr>
        <w:t>　</w:t>
      </w:r>
      <w:r>
        <w:rPr>
          <w:rFonts w:hint="eastAsia" w:ascii="仿宋_GB2312" w:hAnsi="仿宋_GB2312" w:eastAsia="仿宋_GB2312" w:cs="仿宋_GB2312"/>
          <w:kern w:val="0"/>
          <w:sz w:val="32"/>
          <w:szCs w:val="32"/>
        </w:rPr>
        <w:t>2018年预算安排10万元。主要用于2018年赴香港、台湾及一路一带沿线国家开展创意设计资源交流对接活动费用。</w:t>
      </w:r>
      <w:r>
        <w:rPr>
          <w:rFonts w:hint="eastAsia" w:ascii="仿宋_GB2312" w:hAnsi="仿宋_GB2312" w:eastAsia="仿宋_GB2312" w:cs="仿宋_GB2312"/>
          <w:sz w:val="32"/>
          <w:szCs w:val="32"/>
        </w:rPr>
        <w:t>与</w:t>
      </w:r>
      <w:r>
        <w:rPr>
          <w:rFonts w:hint="eastAsia" w:ascii="仿宋_GB2312" w:hAnsi="仿宋_GB2312" w:eastAsia="仿宋_GB2312" w:cs="仿宋_GB2312"/>
          <w:bCs/>
          <w:sz w:val="32"/>
          <w:szCs w:val="32"/>
        </w:rPr>
        <w:t>上</w:t>
      </w:r>
      <w:r>
        <w:rPr>
          <w:rFonts w:hint="eastAsia" w:ascii="仿宋_GB2312" w:hAnsi="仿宋_GB2312" w:eastAsia="仿宋_GB2312" w:cs="仿宋_GB2312"/>
          <w:sz w:val="32"/>
          <w:szCs w:val="32"/>
        </w:rPr>
        <w:t>年相比支出持平”。</w:t>
      </w:r>
    </w:p>
    <w:p>
      <w:pPr>
        <w:widowControl/>
        <w:adjustRightInd w:val="0"/>
        <w:snapToGrid w:val="0"/>
        <w:spacing w:line="600" w:lineRule="exact"/>
        <w:ind w:firstLine="660"/>
        <w:rPr>
          <w:rFonts w:hint="eastAsia" w:ascii="仿宋" w:hAnsi="仿宋" w:eastAsia="仿宋" w:cs="仿宋_GB2312"/>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kern w:val="0"/>
          <w:sz w:val="32"/>
          <w:szCs w:val="32"/>
        </w:rPr>
        <w:t>公务接待费</w:t>
      </w:r>
      <w:r>
        <w:rPr>
          <w:rFonts w:hint="eastAsia" w:ascii="楷体" w:hAnsi="楷体" w:eastAsia="楷体" w:cs="宋体"/>
          <w:b/>
          <w:bCs/>
          <w:kern w:val="0"/>
          <w:sz w:val="32"/>
          <w:szCs w:val="32"/>
        </w:rPr>
        <w:br w:type="textWrapping"/>
      </w:r>
      <w:r>
        <w:rPr>
          <w:rFonts w:hint="eastAsia" w:ascii="仿宋" w:hAnsi="仿宋" w:eastAsia="仿宋" w:cs="宋体"/>
          <w:kern w:val="0"/>
          <w:sz w:val="32"/>
          <w:szCs w:val="32"/>
        </w:rPr>
        <w:t>　</w:t>
      </w:r>
      <w:r>
        <w:rPr>
          <w:rFonts w:hint="eastAsia" w:ascii="仿宋_GB2312" w:hAnsi="仿宋_GB2312" w:eastAsia="仿宋_GB2312" w:cs="仿宋_GB2312"/>
          <w:kern w:val="0"/>
          <w:sz w:val="32"/>
          <w:szCs w:val="32"/>
        </w:rPr>
        <w:t>　2018年预算安排2万元。主要用于省、泉州及其他地区政府、协会、企业等来晋考察调研方面的接待活动。</w:t>
      </w:r>
      <w:r>
        <w:rPr>
          <w:rFonts w:hint="eastAsia" w:ascii="仿宋_GB2312" w:hAnsi="仿宋_GB2312" w:eastAsia="仿宋_GB2312" w:cs="仿宋_GB2312"/>
          <w:sz w:val="32"/>
          <w:szCs w:val="32"/>
        </w:rPr>
        <w:t>与</w:t>
      </w:r>
      <w:r>
        <w:rPr>
          <w:rFonts w:hint="eastAsia" w:ascii="仿宋_GB2312" w:hAnsi="仿宋_GB2312" w:eastAsia="仿宋_GB2312" w:cs="仿宋_GB2312"/>
          <w:bCs/>
          <w:sz w:val="32"/>
          <w:szCs w:val="32"/>
        </w:rPr>
        <w:t>上</w:t>
      </w:r>
      <w:r>
        <w:rPr>
          <w:rFonts w:hint="eastAsia" w:ascii="仿宋_GB2312" w:hAnsi="仿宋_GB2312" w:eastAsia="仿宋_GB2312" w:cs="仿宋_GB2312"/>
          <w:sz w:val="32"/>
          <w:szCs w:val="32"/>
        </w:rPr>
        <w:t>年持平。</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b/>
          <w:bCs/>
          <w:kern w:val="0"/>
          <w:sz w:val="32"/>
          <w:szCs w:val="32"/>
        </w:rPr>
        <w:t>公务用车购置及运行费</w:t>
      </w:r>
      <w:r>
        <w:rPr>
          <w:rFonts w:hint="eastAsia" w:ascii="仿宋_GB2312" w:hAnsi="仿宋_GB2312" w:eastAsia="仿宋_GB2312" w:cs="仿宋_GB2312"/>
          <w:bCs/>
          <w:kern w:val="0"/>
          <w:sz w:val="32"/>
          <w:szCs w:val="32"/>
        </w:rPr>
        <w:br w:type="textWrapping"/>
      </w:r>
      <w:r>
        <w:rPr>
          <w:rFonts w:hint="eastAsia" w:ascii="仿宋" w:hAnsi="仿宋" w:eastAsia="仿宋" w:cs="宋体"/>
          <w:kern w:val="0"/>
          <w:sz w:val="32"/>
          <w:szCs w:val="32"/>
        </w:rPr>
        <w:t>　</w:t>
      </w:r>
      <w:r>
        <w:rPr>
          <w:rFonts w:hint="eastAsia" w:ascii="仿宋_GB2312" w:hAnsi="仿宋_GB2312" w:eastAsia="仿宋_GB2312" w:cs="仿宋_GB2312"/>
          <w:kern w:val="0"/>
          <w:sz w:val="32"/>
          <w:szCs w:val="32"/>
        </w:rPr>
        <w:t xml:space="preserve"> 2018年预算安排0元，其中：公车运行费0万元，公车购置费0万元，与上年持平。</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九、其他重要事项说明</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（一）机关运行经费</w:t>
      </w:r>
    </w:p>
    <w:p>
      <w:pPr>
        <w:spacing w:line="60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kern w:val="0"/>
          <w:sz w:val="32"/>
          <w:szCs w:val="32"/>
        </w:rPr>
        <w:t>2018</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rPr>
        <w:t>经信</w:t>
      </w:r>
      <w:r>
        <w:rPr>
          <w:rFonts w:hint="eastAsia" w:ascii="仿宋_GB2312" w:hAnsi="仿宋_GB2312" w:eastAsia="仿宋_GB2312" w:cs="仿宋_GB2312"/>
          <w:sz w:val="32"/>
          <w:szCs w:val="32"/>
        </w:rPr>
        <w:t>部门（含实行公务员管理的事业单位）一般公共预算拨款安排的机关运行经费支出</w:t>
      </w:r>
      <w:r>
        <w:rPr>
          <w:rFonts w:hint="eastAsia" w:ascii="仿宋_GB2312" w:hAnsi="仿宋_GB2312" w:eastAsia="仿宋_GB2312" w:cs="仿宋_GB2312"/>
          <w:kern w:val="0"/>
          <w:sz w:val="32"/>
          <w:szCs w:val="32"/>
        </w:rPr>
        <w:t>77.01万</w:t>
      </w:r>
      <w:r>
        <w:rPr>
          <w:rFonts w:hint="eastAsia" w:ascii="仿宋_GB2312" w:hAnsi="仿宋_GB2312" w:eastAsia="仿宋_GB2312" w:cs="仿宋_GB2312"/>
          <w:sz w:val="32"/>
          <w:szCs w:val="32"/>
        </w:rPr>
        <w:t>元，比2017年增加</w:t>
      </w:r>
      <w:r>
        <w:rPr>
          <w:rFonts w:hint="eastAsia" w:ascii="仿宋_GB2312" w:hAnsi="仿宋_GB2312" w:eastAsia="仿宋_GB2312" w:cs="仿宋_GB2312"/>
          <w:kern w:val="0"/>
          <w:sz w:val="32"/>
          <w:szCs w:val="32"/>
        </w:rPr>
        <w:t>40.01万</w:t>
      </w:r>
      <w:r>
        <w:rPr>
          <w:rFonts w:hint="eastAsia" w:ascii="仿宋_GB2312" w:hAnsi="仿宋_GB2312" w:eastAsia="仿宋_GB2312" w:cs="仿宋_GB2312"/>
          <w:sz w:val="32"/>
          <w:szCs w:val="32"/>
        </w:rPr>
        <w:t>元，主要原因是人员调整、增加办公费用、差旅费等、增加公务交通补贴预算。</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（二）政府采购情况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w:t>
      </w:r>
      <w:r>
        <w:rPr>
          <w:rFonts w:hint="eastAsia" w:ascii="仿宋_GB2312" w:hAnsi="仿宋_GB2312" w:eastAsia="仿宋_GB2312" w:cs="仿宋_GB2312"/>
          <w:sz w:val="32"/>
          <w:szCs w:val="32"/>
        </w:rPr>
        <w:t>年经信部门政府采购预算总额</w:t>
      </w:r>
      <w:r>
        <w:rPr>
          <w:rFonts w:hint="eastAsia" w:ascii="仿宋_GB2312" w:hAnsi="仿宋_GB2312" w:eastAsia="仿宋_GB2312" w:cs="仿宋_GB2312"/>
          <w:kern w:val="0"/>
          <w:sz w:val="32"/>
          <w:szCs w:val="32"/>
        </w:rPr>
        <w:t>982万元，其中：政府购买服务项目</w:t>
      </w:r>
      <w:r>
        <w:rPr>
          <w:rFonts w:hint="eastAsia" w:ascii="仿宋_GB2312" w:hAnsi="仿宋_GB2312" w:eastAsia="仿宋_GB2312" w:cs="仿宋_GB2312"/>
          <w:sz w:val="32"/>
          <w:szCs w:val="32"/>
        </w:rPr>
        <w:t>采购预算额</w:t>
      </w:r>
      <w:r>
        <w:rPr>
          <w:rFonts w:hint="eastAsia" w:ascii="仿宋_GB2312" w:hAnsi="仿宋_GB2312" w:eastAsia="仿宋_GB2312" w:cs="仿宋_GB2312"/>
          <w:kern w:val="0"/>
          <w:sz w:val="32"/>
          <w:szCs w:val="32"/>
        </w:rPr>
        <w:t>82万元。</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（三）国有资产占用使用情况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截止</w:t>
      </w:r>
      <w:r>
        <w:rPr>
          <w:rFonts w:hint="eastAsia" w:ascii="仿宋_GB2312" w:hAnsi="仿宋_GB2312" w:eastAsia="仿宋_GB2312" w:cs="仿宋_GB2312"/>
          <w:kern w:val="0"/>
          <w:sz w:val="32"/>
          <w:szCs w:val="32"/>
        </w:rPr>
        <w:t>2017年底，经信</w:t>
      </w:r>
      <w:r>
        <w:rPr>
          <w:rFonts w:hint="eastAsia" w:ascii="仿宋_GB2312" w:hAnsi="仿宋_GB2312" w:eastAsia="仿宋_GB2312" w:cs="仿宋_GB2312"/>
          <w:sz w:val="32"/>
          <w:szCs w:val="32"/>
        </w:rPr>
        <w:t>部门本级及所属的预算单位共有车辆</w:t>
      </w:r>
      <w:r>
        <w:rPr>
          <w:rFonts w:hint="eastAsia" w:ascii="仿宋_GB2312" w:hAnsi="仿宋_GB2312" w:eastAsia="仿宋_GB2312" w:cs="仿宋_GB2312"/>
          <w:kern w:val="0"/>
          <w:sz w:val="32"/>
          <w:szCs w:val="32"/>
        </w:rPr>
        <w:t>0</w:t>
      </w:r>
      <w:r>
        <w:rPr>
          <w:rFonts w:hint="eastAsia" w:ascii="仿宋_GB2312" w:hAnsi="仿宋_GB2312" w:eastAsia="仿宋_GB2312" w:cs="仿宋_GB2312"/>
          <w:sz w:val="32"/>
          <w:szCs w:val="32"/>
        </w:rPr>
        <w:t>辆，其中：单位价值50万元以上通用设备</w:t>
      </w:r>
      <w:r>
        <w:rPr>
          <w:rFonts w:hint="eastAsia" w:ascii="仿宋_GB2312" w:hAnsi="仿宋_GB2312" w:eastAsia="仿宋_GB2312" w:cs="仿宋_GB2312"/>
          <w:kern w:val="0"/>
          <w:sz w:val="32"/>
          <w:szCs w:val="32"/>
        </w:rPr>
        <w:t>3台（套），</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kern w:val="0"/>
          <w:sz w:val="32"/>
          <w:szCs w:val="32"/>
        </w:rPr>
        <w:t>0台（套）。</w:t>
      </w:r>
    </w:p>
    <w:p>
      <w:pPr>
        <w:spacing w:line="6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（四）绩效目标设置情况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w:t>
      </w:r>
      <w:r>
        <w:rPr>
          <w:rFonts w:hint="eastAsia" w:ascii="仿宋_GB2312" w:hAnsi="仿宋_GB2312" w:eastAsia="仿宋_GB2312" w:cs="仿宋_GB2312"/>
          <w:sz w:val="32"/>
          <w:szCs w:val="32"/>
        </w:rPr>
        <w:t>经信部门共设置绩效目标</w:t>
      </w:r>
      <w:r>
        <w:rPr>
          <w:rFonts w:hint="eastAsia" w:ascii="仿宋_GB2312" w:hAnsi="仿宋_GB2312" w:eastAsia="仿宋_GB2312" w:cs="仿宋_GB2312"/>
          <w:kern w:val="0"/>
          <w:sz w:val="32"/>
          <w:szCs w:val="32"/>
        </w:rPr>
        <w:t>12</w:t>
      </w:r>
      <w:r>
        <w:rPr>
          <w:rFonts w:hint="eastAsia" w:ascii="仿宋_GB2312" w:hAnsi="仿宋_GB2312" w:eastAsia="仿宋_GB2312" w:cs="仿宋_GB2312"/>
          <w:sz w:val="32"/>
          <w:szCs w:val="32"/>
        </w:rPr>
        <w:t>个，涉及财政拨款资金</w:t>
      </w:r>
      <w:r>
        <w:rPr>
          <w:rFonts w:hint="eastAsia" w:ascii="仿宋_GB2312" w:hAnsi="仿宋_GB2312" w:eastAsia="仿宋_GB2312" w:cs="仿宋_GB2312"/>
          <w:kern w:val="0"/>
          <w:sz w:val="32"/>
          <w:szCs w:val="32"/>
        </w:rPr>
        <w:t>7280万元。</w:t>
      </w:r>
    </w:p>
    <w:p>
      <w:pPr>
        <w:autoSpaceDE w:val="0"/>
        <w:autoSpaceDN w:val="0"/>
        <w:adjustRightInd w:val="0"/>
        <w:spacing w:line="60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十、名词解释</w:t>
      </w:r>
    </w:p>
    <w:p>
      <w:pPr>
        <w:spacing w:line="600" w:lineRule="exact"/>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1.财政拨款收入：指财政当年拨付的资金。 </w:t>
      </w:r>
    </w:p>
    <w:p>
      <w:pPr>
        <w:spacing w:line="600" w:lineRule="exact"/>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2.事业收入：指事业单位开展专业业务活动及辅助活动所取得的收入。</w:t>
      </w:r>
    </w:p>
    <w:p>
      <w:pPr>
        <w:spacing w:line="600" w:lineRule="exact"/>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3.经营收入：指事业单位在专业业务活动及其辅助活动之外开展非独立核算经营活动取得的收入。 </w:t>
      </w:r>
    </w:p>
    <w:p>
      <w:pPr>
        <w:spacing w:line="600" w:lineRule="exact"/>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4.其他收入：指除上述“财政拨款收入”、“事业收入”、“经营收入”等以外的收入。主要是按规定动用的售房收入、存款利息收入等。 </w:t>
      </w:r>
    </w:p>
    <w:p>
      <w:pPr>
        <w:spacing w:line="600" w:lineRule="exact"/>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6.年初结转和结余：指以前年度尚未完成、结转到本年按有关规定继续使用的资金。</w:t>
      </w:r>
    </w:p>
    <w:p>
      <w:pPr>
        <w:pStyle w:val="1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7.结余分配：指事业单位按规定提取的职工福利基金、事业基金和缴纳的所得税，以及建设单位按规定应交回的基本建设竣工项目结余资金。 </w:t>
      </w:r>
    </w:p>
    <w:p>
      <w:pPr>
        <w:pStyle w:val="1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8.年末结转和结余：指本年度或以前年度预算安排、因客观条件发生变化无法按原计划实施，需延迟到以后年度按有关规定继续使用的资金。 </w:t>
      </w:r>
    </w:p>
    <w:p>
      <w:pPr>
        <w:pStyle w:val="1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9.基本支出：指为保障机构正常运转、完成日常工作任务而发生的人员支出和公用支出。 </w:t>
      </w:r>
    </w:p>
    <w:p>
      <w:pPr>
        <w:pStyle w:val="1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10.项目支出：指在基本支出之外为完成特定行政任务和事业发展目标所发生的支出。 </w:t>
      </w:r>
    </w:p>
    <w:p>
      <w:pPr>
        <w:pStyle w:val="1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11.经营支出：指事业单位在专业业务活动及其辅助活动之外开展非独立核算经营活动发生的支出。 </w:t>
      </w:r>
    </w:p>
    <w:p>
      <w:pPr>
        <w:pStyle w:val="1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12.“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含车辆购置税、牌照费)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 </w:t>
      </w:r>
    </w:p>
    <w:p>
      <w:pPr>
        <w:widowControl/>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7513"/>
        </w:tabs>
        <w:adjustRightInd w:val="0"/>
        <w:snapToGrid w:val="0"/>
        <w:spacing w:line="600" w:lineRule="exact"/>
        <w:ind w:firstLine="640" w:firstLineChars="200"/>
        <w:rPr>
          <w:rFonts w:ascii="仿宋" w:hAnsi="仿宋" w:eastAsia="仿宋"/>
          <w:sz w:val="32"/>
          <w:szCs w:val="32"/>
        </w:rPr>
      </w:pPr>
    </w:p>
    <w:p>
      <w:pPr>
        <w:tabs>
          <w:tab w:val="left" w:pos="7513"/>
        </w:tabs>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附表：3-1、</w:t>
      </w:r>
      <w:r>
        <w:rPr>
          <w:rFonts w:hint="eastAsia" w:ascii="仿宋_GB2312" w:hAnsi="仿宋_GB2312" w:eastAsia="仿宋_GB2312" w:cs="仿宋_GB2312"/>
          <w:kern w:val="0"/>
          <w:sz w:val="32"/>
          <w:szCs w:val="32"/>
        </w:rPr>
        <w:t>2018年度</w:t>
      </w:r>
      <w:r>
        <w:rPr>
          <w:rFonts w:hint="eastAsia" w:ascii="仿宋_GB2312" w:hAnsi="仿宋_GB2312" w:eastAsia="仿宋_GB2312" w:cs="仿宋_GB2312"/>
          <w:sz w:val="32"/>
          <w:szCs w:val="32"/>
        </w:rPr>
        <w:t>收支预算总表</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3-2、</w:t>
      </w:r>
      <w:r>
        <w:rPr>
          <w:rFonts w:hint="eastAsia" w:ascii="仿宋_GB2312" w:hAnsi="仿宋_GB2312" w:eastAsia="仿宋_GB2312" w:cs="仿宋_GB2312"/>
          <w:kern w:val="0"/>
          <w:sz w:val="32"/>
          <w:szCs w:val="32"/>
        </w:rPr>
        <w:t>2018年度</w:t>
      </w:r>
      <w:r>
        <w:rPr>
          <w:rFonts w:hint="eastAsia" w:ascii="仿宋_GB2312" w:hAnsi="仿宋_GB2312" w:eastAsia="仿宋_GB2312" w:cs="仿宋_GB2312"/>
          <w:sz w:val="32"/>
          <w:szCs w:val="32"/>
        </w:rPr>
        <w:t>收入预算总表</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3-3</w:t>
      </w:r>
      <w:r>
        <w:rPr>
          <w:rFonts w:hint="eastAsia" w:ascii="仿宋_GB2312" w:hAnsi="仿宋_GB2312" w:eastAsia="仿宋_GB2312" w:cs="仿宋_GB2312"/>
          <w:kern w:val="0"/>
          <w:sz w:val="32"/>
          <w:szCs w:val="32"/>
        </w:rPr>
        <w:t>、2018年度</w:t>
      </w:r>
      <w:r>
        <w:rPr>
          <w:rFonts w:hint="eastAsia" w:ascii="仿宋_GB2312" w:hAnsi="仿宋_GB2312" w:eastAsia="仿宋_GB2312" w:cs="仿宋_GB2312"/>
          <w:sz w:val="32"/>
          <w:szCs w:val="32"/>
        </w:rPr>
        <w:t>支出预算总表</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3-4、</w:t>
      </w:r>
      <w:r>
        <w:rPr>
          <w:rFonts w:hint="eastAsia" w:ascii="仿宋_GB2312" w:hAnsi="仿宋_GB2312" w:eastAsia="仿宋_GB2312" w:cs="仿宋_GB2312"/>
          <w:kern w:val="0"/>
          <w:sz w:val="32"/>
          <w:szCs w:val="32"/>
        </w:rPr>
        <w:t>2018年度</w:t>
      </w:r>
      <w:r>
        <w:rPr>
          <w:rFonts w:hint="eastAsia" w:ascii="仿宋_GB2312" w:hAnsi="仿宋_GB2312" w:eastAsia="仿宋_GB2312" w:cs="仿宋_GB2312"/>
          <w:sz w:val="32"/>
          <w:szCs w:val="32"/>
        </w:rPr>
        <w:t>财政拨款收支预算总表</w:t>
      </w:r>
    </w:p>
    <w:p>
      <w:pPr>
        <w:tabs>
          <w:tab w:val="left" w:pos="7513"/>
        </w:tabs>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3-5、</w:t>
      </w:r>
      <w:r>
        <w:rPr>
          <w:rFonts w:hint="eastAsia" w:ascii="仿宋_GB2312" w:hAnsi="仿宋_GB2312" w:eastAsia="仿宋_GB2312" w:cs="仿宋_GB2312"/>
          <w:kern w:val="0"/>
          <w:sz w:val="32"/>
          <w:szCs w:val="32"/>
        </w:rPr>
        <w:t>2018年度</w:t>
      </w:r>
      <w:r>
        <w:rPr>
          <w:rFonts w:hint="eastAsia" w:ascii="仿宋_GB2312" w:hAnsi="仿宋_GB2312" w:eastAsia="仿宋_GB2312" w:cs="仿宋_GB2312"/>
          <w:sz w:val="32"/>
          <w:szCs w:val="32"/>
        </w:rPr>
        <w:t>一般公共预算拨款支出预算表</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3-6、</w:t>
      </w:r>
      <w:r>
        <w:rPr>
          <w:rFonts w:hint="eastAsia" w:ascii="仿宋_GB2312" w:hAnsi="仿宋_GB2312" w:eastAsia="仿宋_GB2312" w:cs="仿宋_GB2312"/>
          <w:kern w:val="0"/>
          <w:sz w:val="32"/>
          <w:szCs w:val="32"/>
        </w:rPr>
        <w:t>2018年度政府性基金拨款</w:t>
      </w:r>
      <w:r>
        <w:rPr>
          <w:rFonts w:hint="eastAsia" w:ascii="仿宋_GB2312" w:hAnsi="仿宋_GB2312" w:eastAsia="仿宋_GB2312" w:cs="仿宋_GB2312"/>
          <w:sz w:val="32"/>
          <w:szCs w:val="32"/>
        </w:rPr>
        <w:t>支出预算表</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3-7、</w:t>
      </w:r>
      <w:r>
        <w:rPr>
          <w:rFonts w:hint="eastAsia" w:ascii="仿宋_GB2312" w:hAnsi="仿宋_GB2312" w:eastAsia="仿宋_GB2312" w:cs="仿宋_GB2312"/>
          <w:kern w:val="0"/>
          <w:sz w:val="32"/>
          <w:szCs w:val="32"/>
        </w:rPr>
        <w:t>2018年度</w:t>
      </w:r>
      <w:r>
        <w:rPr>
          <w:rFonts w:hint="eastAsia" w:ascii="仿宋_GB2312" w:hAnsi="仿宋_GB2312" w:eastAsia="仿宋_GB2312" w:cs="仿宋_GB2312"/>
          <w:sz w:val="32"/>
          <w:szCs w:val="32"/>
        </w:rPr>
        <w:t>一般公共预算支出经济分类情况表</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3-8、</w:t>
      </w:r>
      <w:r>
        <w:rPr>
          <w:rFonts w:hint="eastAsia" w:ascii="仿宋_GB2312" w:hAnsi="仿宋_GB2312" w:eastAsia="仿宋_GB2312" w:cs="仿宋_GB2312"/>
          <w:kern w:val="0"/>
          <w:sz w:val="32"/>
          <w:szCs w:val="32"/>
        </w:rPr>
        <w:t>2018年度</w:t>
      </w:r>
      <w:r>
        <w:rPr>
          <w:rFonts w:hint="eastAsia" w:ascii="仿宋_GB2312" w:hAnsi="仿宋_GB2312" w:eastAsia="仿宋_GB2312" w:cs="仿宋_GB2312"/>
          <w:sz w:val="32"/>
          <w:szCs w:val="32"/>
        </w:rPr>
        <w:t>一般公共预算基本支出经济分类情况表</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3-9、</w:t>
      </w:r>
      <w:r>
        <w:rPr>
          <w:rFonts w:hint="eastAsia" w:ascii="仿宋_GB2312" w:hAnsi="仿宋_GB2312" w:eastAsia="仿宋_GB2312" w:cs="仿宋_GB2312"/>
          <w:kern w:val="0"/>
          <w:sz w:val="32"/>
          <w:szCs w:val="32"/>
        </w:rPr>
        <w:t>2018年度</w:t>
      </w:r>
      <w:r>
        <w:rPr>
          <w:rFonts w:hint="eastAsia" w:ascii="仿宋_GB2312" w:hAnsi="仿宋_GB2312" w:eastAsia="仿宋_GB2312" w:cs="仿宋_GB2312"/>
          <w:sz w:val="32"/>
          <w:szCs w:val="32"/>
        </w:rPr>
        <w:t>一般公共预算“三公”经费支出预算表</w:t>
      </w:r>
    </w:p>
    <w:p>
      <w:pPr>
        <w:widowControl/>
        <w:adjustRightInd w:val="0"/>
        <w:snapToGrid w:val="0"/>
        <w:spacing w:line="600" w:lineRule="exact"/>
        <w:ind w:firstLine="660"/>
        <w:rPr>
          <w:rFonts w:hint="eastAsia" w:ascii="仿宋_GB2312" w:hAnsi="仿宋_GB2312" w:eastAsia="仿宋_GB2312" w:cs="仿宋_GB2312"/>
          <w:kern w:val="0"/>
          <w:sz w:val="32"/>
          <w:szCs w:val="32"/>
        </w:rPr>
      </w:pPr>
    </w:p>
    <w:sectPr>
      <w:footerReference r:id="rId3" w:type="default"/>
      <w:pgSz w:w="11906" w:h="16838"/>
      <w:pgMar w:top="1440"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A00002EF" w:usb1="4000004B" w:usb2="00000000" w:usb3="00000000" w:csb0="2000009F"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黑体_GBK">
    <w:altName w:val="Arial Unicode MS"/>
    <w:panose1 w:val="00000000000000000000"/>
    <w:charset w:val="00"/>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565C"/>
    <w:multiLevelType w:val="multilevel"/>
    <w:tmpl w:val="5659565C"/>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176F"/>
    <w:rsid w:val="00051D51"/>
    <w:rsid w:val="004006A9"/>
    <w:rsid w:val="00444355"/>
    <w:rsid w:val="00712B86"/>
    <w:rsid w:val="00940582"/>
    <w:rsid w:val="00A75FF5"/>
    <w:rsid w:val="00C40B2F"/>
    <w:rsid w:val="00D1730C"/>
    <w:rsid w:val="00D76403"/>
    <w:rsid w:val="00EA176F"/>
    <w:rsid w:val="00F64D9C"/>
    <w:rsid w:val="00F92F5B"/>
    <w:rsid w:val="057069D3"/>
    <w:rsid w:val="5DF306A7"/>
    <w:rsid w:val="7D315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1"/>
    <w:pPr>
      <w:autoSpaceDE w:val="0"/>
      <w:autoSpaceDN w:val="0"/>
      <w:jc w:val="left"/>
    </w:pPr>
    <w:rPr>
      <w:rFonts w:ascii="Times New Roman" w:hAnsi="Times New Roman" w:eastAsia="Times New Roman" w:cs="Times New Roman"/>
      <w:kern w:val="0"/>
      <w:sz w:val="20"/>
      <w:szCs w:val="20"/>
      <w:lang w:eastAsia="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rPr>
      <w:rFonts w:ascii="Calibri" w:hAnsi="Calibri" w:eastAsia="宋体" w:cs="Times New Roman"/>
    </w:rPr>
  </w:style>
  <w:style w:type="paragraph" w:customStyle="1" w:styleId="10">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character" w:customStyle="1" w:styleId="11">
    <w:name w:val="正文文本 Char"/>
    <w:basedOn w:val="5"/>
    <w:link w:val="2"/>
    <w:qFormat/>
    <w:uiPriority w:val="1"/>
    <w:rPr>
      <w:rFonts w:ascii="Times New Roman" w:hAnsi="Times New Roman" w:eastAsia="Times New Roman" w:cs="Times New Roman"/>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512</Words>
  <Characters>2925</Characters>
  <Lines>24</Lines>
  <Paragraphs>6</Paragraphs>
  <TotalTime>8</TotalTime>
  <ScaleCrop>false</ScaleCrop>
  <LinksUpToDate>false</LinksUpToDate>
  <CharactersWithSpaces>3431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2019-03-13T03:27:00Z</dcterms:created>
  <dc:creator>预算科/林钟禧1</dc:creator>
  <cp:lastModifiedBy>Administrator</cp:lastModifiedBy>
  <cp:lastPrinted>2019-03-13T05:31:00Z</cp:lastPrinted>
  <dcterms:modified xsi:type="dcterms:W3CDTF">2019-03-14T02:35:49Z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