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8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3"/>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中共晋江市委宣传部</w:t>
            </w:r>
          </w:p>
        </w:tc>
        <w:tc>
          <w:tcPr>
            <w:tcW w:w="1481"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晋江市卫生健康局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晋江市公安局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泉州海关驻晋江办事处</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晋江市市场监督管理局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晋江市邮政管理局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bl>
    <w:p>
      <w:pPr>
        <w:snapToGrid w:val="0"/>
        <w:spacing w:line="560" w:lineRule="exact"/>
        <w:jc w:val="center"/>
        <w:rPr>
          <w:rFonts w:hint="eastAsia" w:ascii="Times New Roman" w:hAnsi="Times New Roman" w:eastAsia="方正小标宋简体"/>
          <w:sz w:val="44"/>
          <w:szCs w:val="44"/>
          <w:lang w:eastAsia="zh-CN"/>
        </w:rPr>
      </w:pPr>
      <w:commentRangeStart w:id="0"/>
      <w:r>
        <w:rPr>
          <w:rFonts w:ascii="Times New Roman"/>
        </w:rPr>
        <w:t>晋卫健</w:t>
      </w:r>
      <w:commentRangeEnd w:id="0"/>
      <w:r>
        <w:commentReference w:id="0"/>
      </w:r>
      <w:commentRangeStart w:id="1"/>
      <w:r>
        <w:rPr>
          <w:rFonts w:ascii="Times New Roman"/>
        </w:rPr>
        <w:t>〔</w:t>
      </w:r>
      <w:commentRangeEnd w:id="1"/>
      <w:r>
        <w:commentReference w:id="1"/>
      </w:r>
      <w:commentRangeStart w:id="2"/>
      <w:r>
        <w:rPr>
          <w:rFonts w:ascii="Times New Roman"/>
        </w:rPr>
        <w:t>202</w:t>
      </w:r>
      <w:commentRangeEnd w:id="2"/>
      <w:r>
        <w:commentReference w:id="2"/>
      </w:r>
      <w:r>
        <w:rPr>
          <w:rFonts w:hint="eastAsia" w:ascii="Times New Roman"/>
        </w:rPr>
        <w:t>1</w:t>
      </w:r>
      <w:r>
        <w:rPr>
          <w:rFonts w:ascii="Times New Roman"/>
        </w:rPr>
        <w:t>〕</w:t>
      </w:r>
      <w:r>
        <w:rPr>
          <w:rFonts w:hint="eastAsia" w:ascii="Times New Roman"/>
          <w:lang w:val="en-US" w:eastAsia="zh-CN"/>
        </w:rPr>
        <w:t>193</w:t>
      </w:r>
      <w:r>
        <w:rPr>
          <w:rFonts w:ascii="Times New Roman"/>
        </w:rPr>
        <w:t>号</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imes New Roman" w:hAnsi="Times New Roman" w:eastAsia="方正小标宋简体"/>
          <w:sz w:val="44"/>
          <w:szCs w:val="44"/>
          <w:lang w:eastAsia="zh-CN"/>
        </w:rPr>
      </w:pPr>
      <w:r>
        <w:rPr>
          <w:sz w:val="84"/>
          <w:szCs w:val="84"/>
        </w:rPr>
        <w:pict>
          <v:line id="_x0000_s2055" o:spid="_x0000_s2055" o:spt="20" style="position:absolute;left:0pt;margin-top:2.95pt;height:0.05pt;width:444pt;mso-position-horizontal:center;z-index:251659264;mso-width-relative:page;mso-height-relative:page;" fillcolor="#FF0000" filled="t" stroked="t" coordsize="21600,21600">
            <v:path arrowok="t"/>
            <v:fill on="t" color2="#FFFFFF" focussize="0,0"/>
            <v:stroke weight="3pt" color="#FF0000"/>
            <v:imagedata o:title=""/>
            <o:lock v:ext="edit" aspectratio="f"/>
          </v:line>
        </w:pic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简体" w:hAnsi="宋体" w:eastAsia="方正小标宋简体" w:cs="宋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color w:val="auto"/>
          <w:kern w:val="0"/>
          <w:sz w:val="44"/>
          <w:szCs w:val="44"/>
        </w:rPr>
        <w:t>晋江市</w:t>
      </w:r>
      <w:r>
        <w:rPr>
          <w:rFonts w:hint="eastAsia" w:ascii="方正小标宋简体" w:hAnsi="宋体" w:eastAsia="方正小标宋简体" w:cs="宋体"/>
          <w:color w:val="auto"/>
          <w:kern w:val="0"/>
          <w:sz w:val="44"/>
          <w:szCs w:val="44"/>
          <w:lang w:eastAsia="zh-CN"/>
        </w:rPr>
        <w:t>卫生健康</w:t>
      </w:r>
      <w:r>
        <w:rPr>
          <w:rFonts w:hint="eastAsia" w:ascii="方正小标宋简体" w:hAnsi="宋体" w:eastAsia="方正小标宋简体" w:cs="宋体"/>
          <w:color w:val="auto"/>
          <w:kern w:val="0"/>
          <w:sz w:val="44"/>
          <w:szCs w:val="44"/>
        </w:rPr>
        <w:t>局</w:t>
      </w:r>
      <w:r>
        <w:rPr>
          <w:rFonts w:hint="eastAsia" w:ascii="方正小标宋简体" w:hAnsi="宋体" w:eastAsia="方正小标宋简体" w:cs="宋体"/>
          <w:color w:val="auto"/>
          <w:kern w:val="0"/>
          <w:sz w:val="44"/>
          <w:szCs w:val="44"/>
          <w:lang w:eastAsia="zh-CN"/>
        </w:rPr>
        <w:t>等</w:t>
      </w:r>
      <w:r>
        <w:rPr>
          <w:rFonts w:hint="eastAsia" w:ascii="方正小标宋简体" w:hAnsi="宋体" w:eastAsia="方正小标宋简体" w:cs="宋体"/>
          <w:color w:val="auto"/>
          <w:kern w:val="0"/>
          <w:sz w:val="44"/>
          <w:szCs w:val="44"/>
          <w:lang w:val="en-US" w:eastAsia="zh-CN"/>
        </w:rPr>
        <w:t>六部门</w:t>
      </w:r>
      <w:r>
        <w:rPr>
          <w:rFonts w:hint="eastAsia" w:ascii="方正小标宋简体" w:hAnsi="方正小标宋简体" w:eastAsia="方正小标宋简体" w:cs="方正小标宋简体"/>
          <w:sz w:val="44"/>
          <w:szCs w:val="44"/>
        </w:rPr>
        <w:t>关于印发晋江市打击非法医疗美容服务专项整治</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sz w:val="44"/>
          <w:szCs w:val="44"/>
        </w:rPr>
        <w:t>工作方案的通知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Style w:val="16"/>
          <w:rFonts w:hint="eastAsia" w:ascii="方正小标宋简体" w:hAnsi="方正小标宋简体" w:eastAsia="方正小标宋简体" w:cs="方正小标宋简体"/>
          <w:b w:val="0"/>
          <w:bCs/>
          <w:color w:val="000000" w:themeColor="text1"/>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市有关单位，市卫计执法大队、各有关医疗卫生单位：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现将《晋江市打击非法医疗美容服务专项整治工作方案》印发给你们，请认真组织实施。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right"/>
        <w:textAlignment w:val="auto"/>
        <w:rPr>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Times New Roman" w:hAnsi="仿宋_GB2312" w:eastAsia="仿宋_GB2312" w:cs="Times New Roman"/>
          <w:kern w:val="2"/>
          <w:sz w:val="32"/>
          <w:szCs w:val="32"/>
          <w:lang w:val="en-US" w:eastAsia="zh-CN" w:bidi="ar-SA"/>
        </w:rPr>
        <w:t>中共晋江市委宣传部          晋江市卫生健康局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center"/>
        <w:textAlignment w:val="auto"/>
        <w:rPr>
          <w:rFonts w:hint="default" w:ascii="仿宋_GB2312" w:hAnsi="仿宋_GB2312" w:eastAsia="仿宋_GB2312" w:cs="仿宋_GB2312"/>
          <w:kern w:val="2"/>
          <w:sz w:val="32"/>
          <w:szCs w:val="32"/>
          <w:highlight w:val="none"/>
          <w:lang w:val="en-US" w:eastAsia="zh-CN" w:bidi="ar-SA"/>
        </w:rPr>
      </w:pPr>
      <w:r>
        <w:rPr>
          <w:rFonts w:hint="eastAsia" w:ascii="Times New Roman" w:hAnsi="仿宋_GB2312" w:eastAsia="仿宋_GB2312" w:cs="Times New Roman"/>
          <w:kern w:val="2"/>
          <w:sz w:val="32"/>
          <w:szCs w:val="32"/>
          <w:lang w:val="en-US" w:eastAsia="zh-CN" w:bidi="ar-SA"/>
        </w:rPr>
        <w:t>晋江市公安局                 泉州海关驻晋江办事处</w:t>
      </w:r>
    </w:p>
    <w:p>
      <w:pPr>
        <w:keepNext w:val="0"/>
        <w:keepLines w:val="0"/>
        <w:pageBreakBefore w:val="0"/>
        <w:widowControl w:val="0"/>
        <w:numPr>
          <w:ilvl w:val="0"/>
          <w:numId w:val="0"/>
        </w:numPr>
        <w:tabs>
          <w:tab w:val="left" w:pos="512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kern w:val="2"/>
          <w:sz w:val="32"/>
          <w:szCs w:val="32"/>
          <w:lang w:val="en-US" w:eastAsia="zh-CN" w:bidi="ar-SA"/>
        </w:rPr>
      </w:pPr>
    </w:p>
    <w:p>
      <w:pPr>
        <w:pStyle w:val="2"/>
        <w:rPr>
          <w:rFonts w:hint="eastAsia"/>
          <w:lang w:val="en-US" w:eastAsia="zh-CN"/>
        </w:rPr>
      </w:pPr>
    </w:p>
    <w:p>
      <w:pPr>
        <w:keepNext w:val="0"/>
        <w:keepLines w:val="0"/>
        <w:pageBreakBefore w:val="0"/>
        <w:widowControl w:val="0"/>
        <w:numPr>
          <w:ilvl w:val="0"/>
          <w:numId w:val="0"/>
        </w:numPr>
        <w:tabs>
          <w:tab w:val="left" w:pos="512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kern w:val="2"/>
          <w:sz w:val="32"/>
          <w:szCs w:val="32"/>
          <w:lang w:val="en-US" w:eastAsia="zh-CN" w:bidi="ar-SA"/>
        </w:rPr>
      </w:pPr>
    </w:p>
    <w:p>
      <w:pPr>
        <w:keepNext w:val="0"/>
        <w:keepLines w:val="0"/>
        <w:pageBreakBefore w:val="0"/>
        <w:widowControl w:val="0"/>
        <w:numPr>
          <w:ilvl w:val="0"/>
          <w:numId w:val="0"/>
        </w:numPr>
        <w:tabs>
          <w:tab w:val="left" w:pos="512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晋江市市场监督管理局         晋江市邮政管理局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default"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2021年10月8日</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spacing w:line="600" w:lineRule="exact"/>
        <w:jc w:val="center"/>
        <w:rPr>
          <w:rFonts w:ascii="Times New Roman" w:hAnsi="Times New Roman" w:eastAsia="方正小标宋简体"/>
          <w:spacing w:val="0"/>
          <w:sz w:val="44"/>
          <w:szCs w:val="44"/>
        </w:rPr>
      </w:pPr>
      <w:r>
        <w:rPr>
          <w:rFonts w:hint="eastAsia" w:ascii="Times New Roman" w:hAnsi="Times New Roman" w:eastAsia="方正小标宋简体"/>
          <w:spacing w:val="0"/>
          <w:sz w:val="44"/>
          <w:szCs w:val="44"/>
        </w:rPr>
        <w:t>晋江</w:t>
      </w:r>
      <w:r>
        <w:rPr>
          <w:rFonts w:ascii="Times New Roman" w:hAnsi="Times New Roman" w:eastAsia="方正小标宋简体"/>
          <w:spacing w:val="0"/>
          <w:sz w:val="44"/>
          <w:szCs w:val="44"/>
        </w:rPr>
        <w:t>市打击非法医疗美容服务专项整治</w:t>
      </w:r>
    </w:p>
    <w:p>
      <w:pPr>
        <w:spacing w:line="600" w:lineRule="exact"/>
        <w:jc w:val="center"/>
        <w:rPr>
          <w:rFonts w:ascii="Times New Roman" w:hAnsi="Times New Roman" w:eastAsia="方正小标宋简体"/>
          <w:spacing w:val="0"/>
          <w:sz w:val="44"/>
          <w:szCs w:val="44"/>
        </w:rPr>
      </w:pPr>
      <w:r>
        <w:rPr>
          <w:rFonts w:ascii="Times New Roman" w:hAnsi="Times New Roman" w:eastAsia="方正小标宋简体"/>
          <w:spacing w:val="0"/>
          <w:sz w:val="44"/>
          <w:szCs w:val="44"/>
        </w:rPr>
        <w:t>工作方案</w:t>
      </w:r>
    </w:p>
    <w:p>
      <w:pPr>
        <w:spacing w:line="600" w:lineRule="exact"/>
        <w:ind w:firstLine="640" w:firstLineChars="200"/>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维护消费者合法权益，保障群众身体健康和生命安全，根据《福建省卫生健康委员会等八部门转发国家卫生健康委办公厅等关于印发打击非法医疗美容服务专项整治工作方案的通知》（闽卫监督函﹝2021﹞494号）、《泉州市卫生健康委员会等六部门关于印发泉州市打击非法医疗美容服务专项整治工作方案的通知》（泉卫监督函﹝2021﹞226号）要求，结合我市实际，</w:t>
      </w:r>
      <w:r>
        <w:rPr>
          <w:rFonts w:hint="eastAsia" w:ascii="Times New Roman" w:cs="Times New Roman"/>
          <w:sz w:val="32"/>
          <w:szCs w:val="32"/>
          <w:lang w:eastAsia="zh-CN"/>
        </w:rPr>
        <w:t>中共晋江市委宣传部、</w:t>
      </w:r>
      <w:r>
        <w:rPr>
          <w:rFonts w:hint="default" w:ascii="Times New Roman" w:hAnsi="Times New Roman" w:eastAsia="仿宋_GB2312" w:cs="Times New Roman"/>
          <w:sz w:val="32"/>
          <w:szCs w:val="32"/>
        </w:rPr>
        <w:t>晋江市卫生健康局、晋江市公安局、</w:t>
      </w:r>
      <w:r>
        <w:rPr>
          <w:rFonts w:hint="eastAsia" w:ascii="Times New Roman" w:cs="Times New Roman"/>
          <w:sz w:val="32"/>
          <w:szCs w:val="32"/>
          <w:lang w:eastAsia="zh-CN"/>
        </w:rPr>
        <w:t>泉州海关驻晋江办事处</w:t>
      </w:r>
      <w:r>
        <w:rPr>
          <w:rFonts w:hint="default" w:ascii="Times New Roman" w:hAnsi="Times New Roman" w:eastAsia="仿宋_GB2312" w:cs="Times New Roman"/>
          <w:sz w:val="32"/>
          <w:szCs w:val="32"/>
        </w:rPr>
        <w:t>、晋江市市场监管局、晋江市邮政管理局决定于2021年8月起至2021年12月在全市范围内开展打击非法医疗美容服务专项整治工作。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开展多部门联合专项整治，进一步提高美容医疗机构依法执业意识，强化医疗服务质量和安全管理，防范医疗纠纷和安全风险，严厉打击非法医疗美容活动。严格规范医疗美容服务相关药品和医疗器械生产、流通和使用监管，严厉打击生产、经营和使用不符合国家规定的药品、器械等行为。依法规范医疗美容服务信息和医疗广告行为，严厉打击虚假医疗美容类广告、信息以及不正当竞争行为。以查办案件为抓手，查处并曝光一批违法机构，惩戒和震慑一批不法分子。完善系统治理、依法治理、综合治理、源头治理的工作机制，切实维护消费者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（一）严厉打击非法开展医疗美容相关活动的行为。</w:t>
      </w:r>
      <w:r>
        <w:rPr>
          <w:rFonts w:hint="default" w:ascii="Times New Roman" w:hAnsi="Times New Roman" w:eastAsia="仿宋_GB2312" w:cs="Times New Roman"/>
          <w:sz w:val="32"/>
          <w:szCs w:val="32"/>
        </w:rPr>
        <w:t>医疗美容活动涉及人民群众身体健康和生命安全，必须依法取得医疗机构执业许可证才能开展执业活动。任何单位和个人，不具备法定条件，不得开展医疗美容服务，不得违法采购、使用医疗美容类药品和医疗器械，不得发布医疗广告或变相发布广告。重点加强生活美容服务机构监管，查处生活美容服务机构及其他机构和个人未取得相应资质开展医疗美容服务，以及医师到非医疗机构开展医疗美容服务的行为。重视投诉举报线索，鼓励有奖举报，严肃查处利用宾馆酒店、会所、居民楼违法开展医疗美容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（二）严格规范医疗美容服务行为。</w:t>
      </w:r>
      <w:r>
        <w:rPr>
          <w:rFonts w:hint="default" w:ascii="Times New Roman" w:hAnsi="Times New Roman" w:eastAsia="仿宋_GB2312" w:cs="Times New Roman"/>
          <w:sz w:val="32"/>
          <w:szCs w:val="32"/>
        </w:rPr>
        <w:t>美容医疗机构对本机构依法执业承担主体责任，其法定代表人或主要负责人是第一责任人。医疗机构应当建立并落实依法执业自查工作制度，加强投诉管理，排查执业风险，消除安全隐患。机构要加强医疗美容项目管理，认真落实医疗质量核心制度，规范医疗技术临床应用管理。严禁机构聘用非卫生人员、超范围开展诊疗活动，严禁“以次充好”，使用不符合国家规定的药品、医疗器械和消毒器械；严禁发布虚假医疗广告以及服务资讯类信息；严禁违规分解手术项目；严禁价格欺诈，以及不按规定项目名称和标准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（三）严厉打击非法制售药品和可用于医疗美容医疗器械行为。</w:t>
      </w:r>
      <w:r>
        <w:rPr>
          <w:rFonts w:hint="default" w:ascii="Times New Roman" w:hAnsi="Times New Roman" w:eastAsia="仿宋_GB2312" w:cs="Times New Roman"/>
          <w:sz w:val="32"/>
          <w:szCs w:val="32"/>
        </w:rPr>
        <w:t>加强我市区域内上市的药品和相关医疗器械监督管理，未取得注册批准的产品不得上市；未依法取得药品、医疗器械生产、经营合法资质的，严禁从事药品、医疗器械生产、经营活动。药品和医疗器械生产经营企业要按照《药品管理法》、《医疗器械监督管理条例》等法律法规要求加强管理，依法生产、守法经营。美容医疗机构应当向有生产经营资质的企业购买药品、医疗器械，落实进货查验制度，按照适应证依法合理使用医疗器械，严格医疗用毒性药品和麻醉用药品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（四）严肃查处违法广告和互联网信息。</w:t>
      </w:r>
      <w:r>
        <w:rPr>
          <w:rFonts w:hint="default" w:ascii="Times New Roman" w:hAnsi="Times New Roman" w:eastAsia="仿宋_GB2312" w:cs="Times New Roman"/>
          <w:sz w:val="32"/>
          <w:szCs w:val="32"/>
        </w:rPr>
        <w:t>医疗美容广告属于医疗广告，非医疗机构不得发布医疗广告。医疗美容医疗机构发布医疗广告，严格按照《广告法》和《医疗广告管理办法》规定，依法取得《医疗广告审查证明》并按规定发布医疗广告；未经依法审查取得批准，严禁发布医疗广告，或以新闻形式、医疗资讯服务专题（栏）、健康科普等形式变相发布医疗广告、虚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（一）卫生健康行政部门。</w:t>
      </w:r>
      <w:r>
        <w:rPr>
          <w:rFonts w:hint="default" w:ascii="Times New Roman" w:hAnsi="Times New Roman" w:eastAsia="仿宋_GB2312" w:cs="Times New Roman"/>
          <w:sz w:val="32"/>
          <w:szCs w:val="32"/>
        </w:rPr>
        <w:t>晋江市卫生健康局负责牵头开展专项整治工作，组织协调专项整治各成员单位相关工作。市卫计执法大队要结合《关于进一步加强医疗美容综合监管执法工作的通知》（国卫办监督发〔2020〕4号）、《关于印发医疗机构依法执业自查管理办法的通知》（国卫监督发〔2020〕18号）开展医疗机构依法执业监督检查，加强美容医疗机构和医务人员综合监管，规范医疗美容服务，防范医疗纠纷和安全风险，严厉打击无证行医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（二）市委宣传部门。</w:t>
      </w:r>
      <w:r>
        <w:rPr>
          <w:rFonts w:hint="default" w:ascii="Times New Roman" w:hAnsi="Times New Roman" w:eastAsia="仿宋_GB2312" w:cs="Times New Roman"/>
          <w:sz w:val="32"/>
          <w:szCs w:val="32"/>
        </w:rPr>
        <w:t>依法处置互联网医疗美容相关不良信息，协助查处违法违规网站。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（三）公安部门。</w:t>
      </w:r>
      <w:r>
        <w:rPr>
          <w:rFonts w:hint="default" w:ascii="Times New Roman" w:hAnsi="Times New Roman" w:eastAsia="仿宋_GB2312" w:cs="Times New Roman"/>
          <w:sz w:val="32"/>
          <w:szCs w:val="32"/>
        </w:rPr>
        <w:t>与相关部门密切配合，依法严厉打击医疗美容领域制假售假、非法经营、非法行医等犯罪行为。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（四）海关。</w:t>
      </w:r>
      <w:r>
        <w:rPr>
          <w:rFonts w:hint="default" w:ascii="Times New Roman" w:hAnsi="Times New Roman" w:eastAsia="仿宋_GB2312" w:cs="Times New Roman"/>
          <w:sz w:val="32"/>
          <w:szCs w:val="32"/>
        </w:rPr>
        <w:t>加大药品和医疗器械进口监管力度，严厉打击走私药品和医疗器械等违法行为。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（五）市场监督管理部门。</w:t>
      </w:r>
      <w:r>
        <w:rPr>
          <w:rFonts w:hint="default" w:ascii="Times New Roman" w:hAnsi="Times New Roman" w:eastAsia="仿宋_GB2312" w:cs="Times New Roman"/>
          <w:sz w:val="32"/>
          <w:szCs w:val="32"/>
        </w:rPr>
        <w:t>对在日常监管中发现生活美容机构涉嫌未取得合法资质开展医疗美容服务的，及时通报卫生健康行政部门。加强对医疗美容行业价格违法行为和不正当竞争行为的监管。加强医疗美容广告监管，依法查处违法发布虚假医疗美容广告，依职责加强药品零售企业、医疗器械生产经营企业和医疗机构的监督检查，依法查处不符合法定要求的药品、医疗器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（六）邮政管理部门。</w:t>
      </w:r>
      <w:r>
        <w:rPr>
          <w:rFonts w:hint="default" w:ascii="Times New Roman" w:hAnsi="Times New Roman" w:eastAsia="仿宋_GB2312" w:cs="Times New Roman"/>
          <w:sz w:val="32"/>
          <w:szCs w:val="32"/>
        </w:rPr>
        <w:t>督促寄递企业严格落实实名收寄、收寄验视、过机安检“三项制度”，配合相关部门加大对药品、医疗器械类物品查验力度，严防相关禁寄物品流入寄递渠道。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（一）集中行动阶段（2021年8月至11月）。</w:t>
      </w:r>
      <w:r>
        <w:rPr>
          <w:rFonts w:hint="default" w:ascii="Times New Roman" w:hAnsi="Times New Roman" w:eastAsia="仿宋_GB2312" w:cs="Times New Roman"/>
          <w:sz w:val="32"/>
          <w:szCs w:val="32"/>
        </w:rPr>
        <w:t>各单位按照本方案内容制订具体实施方案，建立工作机制，集中开展工作。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（二）总结巩固阶段（2021年12月）。</w:t>
      </w:r>
      <w:r>
        <w:rPr>
          <w:rFonts w:hint="default" w:ascii="Times New Roman" w:hAnsi="Times New Roman" w:eastAsia="仿宋_GB2312" w:cs="Times New Roman"/>
          <w:sz w:val="32"/>
          <w:szCs w:val="32"/>
        </w:rPr>
        <w:t>各单位全面总结专项整治工作情况，并于2021年11月30日前将专项整治工作总结（包括专项整治工作开展情况、取得的成效、存在的问题和困难、下一步工作安排、长效机制建立运转情况以及汇总表）和典型案例报送晋江市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（一）高度重视，加强组织领导。</w:t>
      </w:r>
      <w:r>
        <w:rPr>
          <w:rFonts w:hint="default" w:ascii="Times New Roman" w:hAnsi="Times New Roman" w:eastAsia="仿宋_GB2312" w:cs="Times New Roman"/>
          <w:sz w:val="32"/>
          <w:szCs w:val="32"/>
        </w:rPr>
        <w:t>医疗美容消费者众多，社会关注度高，各单位要高度重视，站在服务和保障民生的高度，以对人民群众健康高度负责的态度，准确把握专项整治重要意义，充分认识开展专项整治的重要性和紧迫性。晋江市卫生健康局牵头建立专项整治联络员制度，定期召开联络员会议，沟通信息、通报进展、研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（二）密切配合，形成监管合力。</w:t>
      </w:r>
      <w:r>
        <w:rPr>
          <w:rFonts w:hint="default" w:ascii="Times New Roman" w:hAnsi="Times New Roman" w:eastAsia="仿宋_GB2312" w:cs="Times New Roman"/>
          <w:sz w:val="32"/>
          <w:szCs w:val="32"/>
        </w:rPr>
        <w:t>专项整治四项工作任务环环相扣，各有侧重，缺一不可，各有关部门要按照分工依法履职，相互协作，密切配合，形成工作合力。对于工作中发现涉及其他部门职责的案件线索，要及时通报相应部门。要严格落实行政执法与刑事司法衔接有关规定，对涉嫌犯罪的案件，各行政执法部门要及时移送公安机关并提供鉴定检测支持，公安机关要及时受理，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（三）强化宣传，正面舆论引导。</w:t>
      </w:r>
      <w:r>
        <w:rPr>
          <w:rFonts w:hint="default" w:ascii="Times New Roman" w:hAnsi="Times New Roman" w:eastAsia="仿宋_GB2312" w:cs="Times New Roman"/>
          <w:sz w:val="32"/>
          <w:szCs w:val="32"/>
        </w:rPr>
        <w:t>各单位要加强宣传，制作多种形式的宣传材料，利用传统媒体、新媒体等多渠道进行宣传，协调手机运营商推送公益广告，广泛开展科普宣传，发布警示信息，宣传专项整治进展，按月曝光辖区医疗美容执法案件或典型案例，揭示违法违规行为的危害和后果，提升消费者辨识能力，引导公众理性认知，倡导消费者自觉选择正规美容医疗机构接受医疗美容服务。各单位要通过设立举报电话等方式，畅通投诉举报渠道，对有关投诉举报及时核查，对核查属实的依法严肃处理，营造社会共治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（四）标本兼治，健全长效机制。</w:t>
      </w:r>
      <w:r>
        <w:rPr>
          <w:rFonts w:hint="default" w:ascii="Times New Roman" w:hAnsi="Times New Roman" w:eastAsia="仿宋_GB2312" w:cs="Times New Roman"/>
          <w:sz w:val="32"/>
          <w:szCs w:val="32"/>
        </w:rPr>
        <w:t>各单位要进一步完善长效机制和管理制度，加强监管。通过专项整治，不断健全部门联合、区域协作、社会共治、打建并举的工作机制。各单位对严重违法犯罪的机构或个人依法依规纳入社会信用体系，实施联合惩戒。美容医疗机构要认真落实主体责任，按照《医疗机构依法执业自查管理办法》对本机构及医务人员的依法执业情况定期开展自查，发现问题及时整改，并将自查和整改情况报告属地卫生监督机构。要充分发挥行业协会的作用，加强行业自律，宣传相关知识，维护行业信誉，促进医疗美容服务行业规范健康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联络员：市卫健局：陈兴全，联系电话：85688155，电子邮箱：jjzhjdk@163.com</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市委宣传部：丁志俭；联系电话：13959710927</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市公安局：张庆祥；联系电话：15959526016</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泉州海关驻晋江办事处：丁旭东；联系电话：13805931870</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
        </w:rPr>
      </w:pPr>
      <w:r>
        <w:rPr>
          <w:rFonts w:hint="default" w:ascii="Times New Roman" w:hAnsi="Times New Roman" w:eastAsia="仿宋_GB2312" w:cs="Times New Roman"/>
          <w:sz w:val="32"/>
          <w:szCs w:val="32"/>
        </w:rPr>
        <w:t>市市场监管局：</w:t>
      </w:r>
      <w:r>
        <w:rPr>
          <w:rFonts w:hint="default" w:ascii="Times New Roman" w:hAnsi="Times New Roman" w:eastAsia="仿宋_GB2312" w:cs="Times New Roman"/>
          <w:color w:val="000000"/>
          <w:sz w:val="32"/>
          <w:szCs w:val="32"/>
        </w:rPr>
        <w:t>林少军；联系电话：85656065</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市邮政管理局：林宝莹；联系电话：82822206</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附件：1.医疗美容专项整治工作汇总表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2.典型案例报送模板</w:t>
      </w:r>
    </w:p>
    <w:p>
      <w:pPr>
        <w:spacing w:line="540" w:lineRule="exact"/>
        <w:rPr>
          <w:rFonts w:ascii="Times New Roman" w:hAnsi="Times New Roman" w:eastAsia="黑体"/>
          <w:szCs w:val="32"/>
        </w:rPr>
        <w:sectPr>
          <w:footerReference r:id="rId8" w:type="first"/>
          <w:headerReference r:id="rId5" w:type="default"/>
          <w:footerReference r:id="rId6" w:type="default"/>
          <w:footerReference r:id="rId7" w:type="even"/>
          <w:pgSz w:w="11907" w:h="16840"/>
          <w:pgMar w:top="2211" w:right="1644" w:bottom="1984" w:left="1644" w:header="851" w:footer="851" w:gutter="0"/>
          <w:pgNumType w:fmt="numberInDash"/>
          <w:cols w:space="720" w:num="1"/>
          <w:titlePg/>
          <w:docGrid w:type="lines" w:linePitch="435" w:charSpace="0"/>
        </w:sectPr>
      </w:pPr>
    </w:p>
    <w:p>
      <w:pPr>
        <w:spacing w:line="500" w:lineRule="exact"/>
        <w:rPr>
          <w:rFonts w:ascii="黑体" w:hAnsi="黑体" w:eastAsia="黑体"/>
          <w:sz w:val="32"/>
          <w:szCs w:val="32"/>
        </w:rPr>
      </w:pPr>
      <w:r>
        <w:rPr>
          <w:rFonts w:ascii="黑体" w:hAnsi="黑体" w:eastAsia="黑体"/>
          <w:sz w:val="32"/>
          <w:szCs w:val="32"/>
        </w:rPr>
        <w:t>附件1</w:t>
      </w:r>
    </w:p>
    <w:p>
      <w:pPr>
        <w:spacing w:line="500" w:lineRule="exact"/>
        <w:jc w:val="center"/>
        <w:rPr>
          <w:rFonts w:ascii="Times New Roman" w:hAnsi="Times New Roman" w:eastAsia="方正小标宋简体"/>
          <w:sz w:val="44"/>
          <w:szCs w:val="44"/>
        </w:rPr>
      </w:pPr>
      <w:r>
        <w:rPr>
          <w:rFonts w:hint="default" w:ascii="Times New Roman" w:hAnsi="Times New Roman" w:eastAsia="方正小标宋简体"/>
          <w:sz w:val="44"/>
          <w:szCs w:val="44"/>
        </w:rPr>
        <w:t>医疗美容专项整治工作汇总表</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ascii="Times New Roman" w:hAnsi="Times New Roman" w:eastAsia="仿宋_GB2312"/>
          <w:sz w:val="28"/>
          <w:szCs w:val="28"/>
        </w:rPr>
        <w:t xml:space="preserve"> </w:t>
      </w:r>
      <w:r>
        <w:rPr>
          <w:rFonts w:ascii="Times New Roman" w:hAnsi="仿宋_GB2312" w:eastAsia="仿宋_GB2312"/>
          <w:sz w:val="28"/>
          <w:szCs w:val="28"/>
        </w:rPr>
        <w:t>县（市、区）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810"/>
        <w:gridCol w:w="891"/>
        <w:gridCol w:w="750"/>
        <w:gridCol w:w="716"/>
        <w:gridCol w:w="783"/>
        <w:gridCol w:w="727"/>
        <w:gridCol w:w="770"/>
        <w:gridCol w:w="790"/>
        <w:gridCol w:w="1709"/>
        <w:gridCol w:w="123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26" w:type="dxa"/>
            <w:vMerge w:val="restart"/>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处理情况</w:t>
            </w:r>
          </w:p>
        </w:tc>
        <w:tc>
          <w:tcPr>
            <w:tcW w:w="3167" w:type="dxa"/>
            <w:gridSpan w:val="4"/>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非法医疗美容</w:t>
            </w:r>
          </w:p>
        </w:tc>
        <w:tc>
          <w:tcPr>
            <w:tcW w:w="3070" w:type="dxa"/>
            <w:gridSpan w:val="4"/>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非法制售使用</w:t>
            </w:r>
          </w:p>
          <w:p>
            <w:pPr>
              <w:snapToGrid w:val="0"/>
              <w:spacing w:line="320" w:lineRule="exact"/>
              <w:jc w:val="center"/>
              <w:rPr>
                <w:rFonts w:ascii="Times New Roman" w:hAnsi="Times New Roman" w:eastAsia="黑体"/>
                <w:sz w:val="24"/>
              </w:rPr>
            </w:pPr>
            <w:r>
              <w:rPr>
                <w:rFonts w:ascii="Times New Roman" w:hAnsi="Times New Roman" w:eastAsia="黑体"/>
                <w:sz w:val="24"/>
              </w:rPr>
              <w:t>药品、可用于医疗美容的</w:t>
            </w:r>
          </w:p>
          <w:p>
            <w:pPr>
              <w:snapToGrid w:val="0"/>
              <w:spacing w:line="320" w:lineRule="exact"/>
              <w:jc w:val="center"/>
              <w:rPr>
                <w:rFonts w:ascii="Times New Roman" w:hAnsi="Times New Roman" w:eastAsia="黑体"/>
                <w:sz w:val="24"/>
              </w:rPr>
            </w:pPr>
            <w:r>
              <w:rPr>
                <w:rFonts w:ascii="Times New Roman" w:hAnsi="Times New Roman" w:eastAsia="黑体"/>
                <w:sz w:val="24"/>
              </w:rPr>
              <w:t>医疗器械</w:t>
            </w:r>
          </w:p>
        </w:tc>
        <w:tc>
          <w:tcPr>
            <w:tcW w:w="1709" w:type="dxa"/>
            <w:vMerge w:val="restart"/>
            <w:noWrap w:val="0"/>
            <w:vAlign w:val="center"/>
          </w:tcPr>
          <w:p>
            <w:pPr>
              <w:snapToGrid w:val="0"/>
              <w:spacing w:line="320" w:lineRule="exact"/>
              <w:ind w:firstLine="16" w:firstLineChars="7"/>
              <w:jc w:val="center"/>
              <w:rPr>
                <w:rFonts w:ascii="Times New Roman" w:hAnsi="Times New Roman" w:eastAsia="黑体"/>
                <w:color w:val="000000"/>
                <w:sz w:val="24"/>
              </w:rPr>
            </w:pPr>
            <w:r>
              <w:rPr>
                <w:rFonts w:ascii="Times New Roman" w:hAnsi="Times New Roman" w:eastAsia="黑体"/>
                <w:color w:val="000000"/>
                <w:sz w:val="24"/>
              </w:rPr>
              <w:t>违法发布</w:t>
            </w:r>
          </w:p>
          <w:p>
            <w:pPr>
              <w:snapToGrid w:val="0"/>
              <w:spacing w:line="320" w:lineRule="exact"/>
              <w:jc w:val="center"/>
              <w:rPr>
                <w:rFonts w:ascii="Times New Roman" w:hAnsi="Times New Roman" w:eastAsia="黑体"/>
                <w:color w:val="000000"/>
                <w:sz w:val="24"/>
              </w:rPr>
            </w:pPr>
            <w:r>
              <w:rPr>
                <w:rFonts w:ascii="Times New Roman" w:hAnsi="Times New Roman" w:eastAsia="黑体"/>
                <w:color w:val="000000"/>
                <w:sz w:val="24"/>
              </w:rPr>
              <w:t>医疗美容广告</w:t>
            </w:r>
          </w:p>
        </w:tc>
        <w:tc>
          <w:tcPr>
            <w:tcW w:w="1234" w:type="dxa"/>
            <w:vMerge w:val="restart"/>
            <w:noWrap w:val="0"/>
            <w:vAlign w:val="center"/>
          </w:tcPr>
          <w:p>
            <w:pPr>
              <w:snapToGrid w:val="0"/>
              <w:spacing w:line="320" w:lineRule="exact"/>
              <w:ind w:firstLine="9" w:firstLineChars="4"/>
              <w:jc w:val="center"/>
              <w:rPr>
                <w:rFonts w:ascii="Times New Roman" w:hAnsi="Times New Roman" w:eastAsia="黑体"/>
                <w:color w:val="000000"/>
                <w:sz w:val="24"/>
              </w:rPr>
            </w:pPr>
            <w:r>
              <w:rPr>
                <w:rFonts w:ascii="Times New Roman" w:hAnsi="Times New Roman" w:eastAsia="黑体"/>
                <w:color w:val="000000"/>
                <w:sz w:val="24"/>
              </w:rPr>
              <w:t>违规发布</w:t>
            </w:r>
          </w:p>
          <w:p>
            <w:pPr>
              <w:snapToGrid w:val="0"/>
              <w:spacing w:line="320" w:lineRule="exact"/>
              <w:ind w:firstLine="9" w:firstLineChars="4"/>
              <w:jc w:val="center"/>
              <w:rPr>
                <w:rFonts w:ascii="Times New Roman" w:hAnsi="Times New Roman" w:eastAsia="黑体"/>
                <w:color w:val="000000"/>
                <w:sz w:val="24"/>
              </w:rPr>
            </w:pPr>
            <w:r>
              <w:rPr>
                <w:rFonts w:ascii="Times New Roman" w:hAnsi="Times New Roman" w:eastAsia="黑体"/>
                <w:color w:val="000000"/>
                <w:sz w:val="24"/>
              </w:rPr>
              <w:t>互联网</w:t>
            </w:r>
          </w:p>
          <w:p>
            <w:pPr>
              <w:snapToGrid w:val="0"/>
              <w:spacing w:line="320" w:lineRule="exact"/>
              <w:ind w:firstLine="9" w:firstLineChars="4"/>
              <w:jc w:val="center"/>
              <w:rPr>
                <w:rFonts w:ascii="Times New Roman" w:hAnsi="Times New Roman" w:eastAsia="黑体"/>
                <w:color w:val="000000"/>
                <w:sz w:val="24"/>
              </w:rPr>
            </w:pPr>
            <w:r>
              <w:rPr>
                <w:rFonts w:ascii="Times New Roman" w:hAnsi="Times New Roman" w:eastAsia="黑体"/>
                <w:color w:val="000000"/>
                <w:sz w:val="24"/>
              </w:rPr>
              <w:t>信息</w:t>
            </w:r>
          </w:p>
        </w:tc>
        <w:tc>
          <w:tcPr>
            <w:tcW w:w="1234" w:type="dxa"/>
            <w:vMerge w:val="restart"/>
            <w:noWrap w:val="0"/>
            <w:vAlign w:val="center"/>
          </w:tcPr>
          <w:p>
            <w:pPr>
              <w:snapToGrid w:val="0"/>
              <w:spacing w:line="320" w:lineRule="exact"/>
              <w:ind w:firstLine="50" w:firstLineChars="21"/>
              <w:jc w:val="center"/>
              <w:rPr>
                <w:rFonts w:ascii="Times New Roman" w:hAnsi="Times New Roman" w:eastAsia="黑体"/>
                <w:color w:val="000000"/>
                <w:sz w:val="24"/>
              </w:rPr>
            </w:pPr>
            <w:r>
              <w:rPr>
                <w:rFonts w:ascii="Times New Roman" w:hAnsi="Times New Roman" w:eastAsia="黑体"/>
                <w:color w:val="000000"/>
                <w:sz w:val="24"/>
              </w:rPr>
              <w:t>违规开展</w:t>
            </w:r>
          </w:p>
          <w:p>
            <w:pPr>
              <w:snapToGrid w:val="0"/>
              <w:spacing w:line="320" w:lineRule="exact"/>
              <w:ind w:firstLine="50" w:firstLineChars="21"/>
              <w:jc w:val="center"/>
              <w:rPr>
                <w:rFonts w:ascii="Times New Roman" w:hAnsi="Times New Roman" w:eastAsia="黑体"/>
                <w:color w:val="000000"/>
                <w:sz w:val="24"/>
              </w:rPr>
            </w:pPr>
            <w:r>
              <w:rPr>
                <w:rFonts w:ascii="Times New Roman" w:hAnsi="Times New Roman" w:eastAsia="黑体"/>
                <w:color w:val="000000"/>
                <w:sz w:val="24"/>
              </w:rPr>
              <w:t>寄递业务</w:t>
            </w:r>
          </w:p>
          <w:p>
            <w:pPr>
              <w:snapToGrid w:val="0"/>
              <w:spacing w:line="320" w:lineRule="exact"/>
              <w:ind w:firstLine="50" w:firstLineChars="21"/>
              <w:jc w:val="center"/>
              <w:rPr>
                <w:rFonts w:ascii="Times New Roman" w:hAnsi="Times New Roman" w:eastAsia="黑体"/>
                <w:color w:val="000000"/>
                <w:sz w:val="24"/>
              </w:rPr>
            </w:pPr>
            <w:r>
              <w:rPr>
                <w:rFonts w:ascii="Times New Roman" w:hAnsi="Times New Roman" w:eastAsia="黑体"/>
                <w:color w:val="000000"/>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26" w:type="dxa"/>
            <w:vMerge w:val="continue"/>
            <w:noWrap w:val="0"/>
            <w:vAlign w:val="center"/>
          </w:tcPr>
          <w:p>
            <w:pPr>
              <w:snapToGrid w:val="0"/>
              <w:spacing w:line="320" w:lineRule="exact"/>
              <w:ind w:firstLine="480" w:firstLineChars="200"/>
              <w:jc w:val="center"/>
              <w:rPr>
                <w:rFonts w:ascii="Times New Roman" w:hAnsi="Times New Roman" w:eastAsia="黑体"/>
                <w:sz w:val="24"/>
              </w:rPr>
            </w:pPr>
          </w:p>
        </w:tc>
        <w:tc>
          <w:tcPr>
            <w:tcW w:w="1701" w:type="dxa"/>
            <w:gridSpan w:val="2"/>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无证行医</w:t>
            </w:r>
          </w:p>
        </w:tc>
        <w:tc>
          <w:tcPr>
            <w:tcW w:w="1466" w:type="dxa"/>
            <w:gridSpan w:val="2"/>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医疗机构</w:t>
            </w:r>
          </w:p>
        </w:tc>
        <w:tc>
          <w:tcPr>
            <w:tcW w:w="1510" w:type="dxa"/>
            <w:gridSpan w:val="2"/>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药品</w:t>
            </w:r>
          </w:p>
        </w:tc>
        <w:tc>
          <w:tcPr>
            <w:tcW w:w="1560" w:type="dxa"/>
            <w:gridSpan w:val="2"/>
            <w:noWrap w:val="0"/>
            <w:vAlign w:val="center"/>
          </w:tcPr>
          <w:p>
            <w:pPr>
              <w:snapToGrid w:val="0"/>
              <w:spacing w:line="320" w:lineRule="exact"/>
              <w:jc w:val="center"/>
              <w:rPr>
                <w:rFonts w:ascii="Times New Roman" w:hAnsi="Times New Roman" w:eastAsia="黑体"/>
                <w:sz w:val="24"/>
              </w:rPr>
            </w:pPr>
            <w:r>
              <w:rPr>
                <w:rFonts w:ascii="Times New Roman" w:hAnsi="Times New Roman" w:eastAsia="黑体"/>
                <w:sz w:val="24"/>
              </w:rPr>
              <w:t>医疗器械</w:t>
            </w:r>
          </w:p>
        </w:tc>
        <w:tc>
          <w:tcPr>
            <w:tcW w:w="1709" w:type="dxa"/>
            <w:vMerge w:val="continue"/>
            <w:noWrap w:val="0"/>
            <w:vAlign w:val="center"/>
          </w:tcPr>
          <w:p>
            <w:pPr>
              <w:snapToGrid w:val="0"/>
              <w:spacing w:line="320" w:lineRule="exact"/>
              <w:ind w:firstLine="480" w:firstLineChars="200"/>
              <w:jc w:val="center"/>
              <w:rPr>
                <w:rFonts w:ascii="Times New Roman" w:hAnsi="Times New Roman" w:eastAsia="黑体"/>
                <w:sz w:val="24"/>
              </w:rPr>
            </w:pPr>
          </w:p>
        </w:tc>
        <w:tc>
          <w:tcPr>
            <w:tcW w:w="1234" w:type="dxa"/>
            <w:vMerge w:val="continue"/>
            <w:noWrap w:val="0"/>
            <w:vAlign w:val="center"/>
          </w:tcPr>
          <w:p>
            <w:pPr>
              <w:snapToGrid w:val="0"/>
              <w:spacing w:line="320" w:lineRule="exact"/>
              <w:ind w:firstLine="480" w:firstLineChars="200"/>
              <w:jc w:val="center"/>
              <w:rPr>
                <w:rFonts w:ascii="Times New Roman" w:hAnsi="Times New Roman" w:eastAsia="黑体"/>
                <w:sz w:val="24"/>
              </w:rPr>
            </w:pPr>
          </w:p>
        </w:tc>
        <w:tc>
          <w:tcPr>
            <w:tcW w:w="1234" w:type="dxa"/>
            <w:vMerge w:val="continue"/>
            <w:noWrap w:val="0"/>
            <w:vAlign w:val="center"/>
          </w:tcPr>
          <w:p>
            <w:pPr>
              <w:snapToGrid w:val="0"/>
              <w:spacing w:line="320" w:lineRule="exact"/>
              <w:ind w:firstLine="480" w:firstLineChars="20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检查对象数</w:t>
            </w:r>
          </w:p>
        </w:tc>
        <w:tc>
          <w:tcPr>
            <w:tcW w:w="1701" w:type="dxa"/>
            <w:gridSpan w:val="2"/>
            <w:noWrap w:val="0"/>
            <w:vAlign w:val="center"/>
          </w:tcPr>
          <w:p>
            <w:pPr>
              <w:snapToGrid w:val="0"/>
              <w:spacing w:line="380" w:lineRule="exact"/>
              <w:ind w:firstLine="480" w:firstLineChars="200"/>
              <w:jc w:val="center"/>
              <w:rPr>
                <w:rFonts w:ascii="Times New Roman" w:hAnsi="Times New Roman" w:eastAsia="仿宋_GB2312"/>
                <w:sz w:val="24"/>
              </w:rPr>
            </w:pPr>
          </w:p>
        </w:tc>
        <w:tc>
          <w:tcPr>
            <w:tcW w:w="1466" w:type="dxa"/>
            <w:gridSpan w:val="2"/>
            <w:noWrap w:val="0"/>
            <w:vAlign w:val="center"/>
          </w:tcPr>
          <w:p>
            <w:pPr>
              <w:snapToGrid w:val="0"/>
              <w:spacing w:line="380" w:lineRule="exact"/>
              <w:ind w:firstLine="480" w:firstLineChars="200"/>
              <w:jc w:val="center"/>
              <w:rPr>
                <w:rFonts w:ascii="Times New Roman" w:hAnsi="Times New Roman" w:eastAsia="仿宋_GB2312"/>
                <w:sz w:val="24"/>
              </w:rPr>
            </w:pPr>
          </w:p>
        </w:tc>
        <w:tc>
          <w:tcPr>
            <w:tcW w:w="1510" w:type="dxa"/>
            <w:gridSpan w:val="2"/>
            <w:noWrap w:val="0"/>
            <w:vAlign w:val="center"/>
          </w:tcPr>
          <w:p>
            <w:pPr>
              <w:snapToGrid w:val="0"/>
              <w:spacing w:line="380" w:lineRule="exact"/>
              <w:ind w:firstLine="480" w:firstLineChars="200"/>
              <w:jc w:val="center"/>
              <w:rPr>
                <w:rFonts w:ascii="Times New Roman" w:hAnsi="Times New Roman" w:eastAsia="仿宋_GB2312"/>
                <w:sz w:val="24"/>
              </w:rPr>
            </w:pPr>
          </w:p>
        </w:tc>
        <w:tc>
          <w:tcPr>
            <w:tcW w:w="1560" w:type="dxa"/>
            <w:gridSpan w:val="2"/>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vMerge w:val="restart"/>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案件数</w:t>
            </w:r>
          </w:p>
        </w:tc>
        <w:tc>
          <w:tcPr>
            <w:tcW w:w="810"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机构</w:t>
            </w:r>
          </w:p>
        </w:tc>
        <w:tc>
          <w:tcPr>
            <w:tcW w:w="891"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人员</w:t>
            </w:r>
          </w:p>
        </w:tc>
        <w:tc>
          <w:tcPr>
            <w:tcW w:w="750"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机构</w:t>
            </w:r>
          </w:p>
        </w:tc>
        <w:tc>
          <w:tcPr>
            <w:tcW w:w="71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人员</w:t>
            </w:r>
          </w:p>
        </w:tc>
        <w:tc>
          <w:tcPr>
            <w:tcW w:w="783"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机构</w:t>
            </w:r>
          </w:p>
        </w:tc>
        <w:tc>
          <w:tcPr>
            <w:tcW w:w="727"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人员</w:t>
            </w:r>
          </w:p>
        </w:tc>
        <w:tc>
          <w:tcPr>
            <w:tcW w:w="770"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机构</w:t>
            </w:r>
          </w:p>
        </w:tc>
        <w:tc>
          <w:tcPr>
            <w:tcW w:w="790"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人员</w:t>
            </w: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726" w:type="dxa"/>
            <w:vMerge w:val="continue"/>
            <w:noWrap w:val="0"/>
            <w:vAlign w:val="center"/>
          </w:tcPr>
          <w:p>
            <w:pPr>
              <w:snapToGrid w:val="0"/>
              <w:spacing w:line="380" w:lineRule="exact"/>
              <w:ind w:firstLine="480" w:firstLineChars="200"/>
              <w:rPr>
                <w:rFonts w:ascii="Times New Roman" w:hAnsi="Times New Roman" w:eastAsia="仿宋_GB2312"/>
                <w:sz w:val="24"/>
              </w:rPr>
            </w:pP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责令改正数</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警告数</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责令停业整顿户数</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罚款户（人）次</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罚款金额（万元）</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没收违法所得（万元）</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吊销行政许可资质</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26" w:type="dxa"/>
            <w:noWrap w:val="0"/>
            <w:vAlign w:val="center"/>
          </w:tcPr>
          <w:p>
            <w:pPr>
              <w:snapToGrid w:val="0"/>
              <w:spacing w:line="380" w:lineRule="exact"/>
              <w:rPr>
                <w:rFonts w:ascii="Times New Roman" w:hAnsi="Times New Roman" w:eastAsia="仿宋_GB2312"/>
                <w:sz w:val="24"/>
              </w:rPr>
            </w:pPr>
            <w:r>
              <w:rPr>
                <w:rFonts w:ascii="Times New Roman" w:hAnsi="仿宋_GB2312" w:eastAsia="仿宋_GB2312"/>
                <w:sz w:val="24"/>
              </w:rPr>
              <w:t>移送司法机关</w:t>
            </w:r>
          </w:p>
        </w:tc>
        <w:tc>
          <w:tcPr>
            <w:tcW w:w="81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891"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5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16"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83"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27"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7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790"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709"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c>
          <w:tcPr>
            <w:tcW w:w="1234" w:type="dxa"/>
            <w:noWrap w:val="0"/>
            <w:vAlign w:val="center"/>
          </w:tcPr>
          <w:p>
            <w:pPr>
              <w:snapToGrid w:val="0"/>
              <w:spacing w:line="380" w:lineRule="exact"/>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140" w:type="dxa"/>
            <w:gridSpan w:val="12"/>
            <w:noWrap w:val="0"/>
            <w:vAlign w:val="top"/>
          </w:tcPr>
          <w:p>
            <w:pPr>
              <w:snapToGrid w:val="0"/>
              <w:spacing w:line="380" w:lineRule="exact"/>
              <w:jc w:val="left"/>
              <w:rPr>
                <w:rFonts w:ascii="Times New Roman" w:hAnsi="Times New Roman" w:eastAsia="仿宋_GB2312"/>
                <w:sz w:val="24"/>
              </w:rPr>
            </w:pPr>
            <w:r>
              <w:rPr>
                <w:rFonts w:ascii="Times New Roman" w:hAnsi="仿宋_GB2312" w:eastAsia="仿宋_GB2312"/>
                <w:sz w:val="24"/>
              </w:rPr>
              <w:t>投诉举报情况：投诉举报</w:t>
            </w:r>
            <w:r>
              <w:rPr>
                <w:rFonts w:ascii="Times New Roman" w:hAnsi="Times New Roman" w:eastAsia="仿宋_GB2312"/>
                <w:sz w:val="24"/>
                <w:u w:val="single"/>
              </w:rPr>
              <w:t xml:space="preserve">       </w:t>
            </w:r>
            <w:r>
              <w:rPr>
                <w:rFonts w:ascii="Times New Roman" w:hAnsi="仿宋_GB2312" w:eastAsia="仿宋_GB2312"/>
                <w:sz w:val="24"/>
              </w:rPr>
              <w:t>件；办结</w:t>
            </w:r>
            <w:r>
              <w:rPr>
                <w:rFonts w:ascii="Times New Roman" w:hAnsi="Times New Roman" w:eastAsia="仿宋_GB2312"/>
                <w:sz w:val="24"/>
                <w:u w:val="single"/>
              </w:rPr>
              <w:t xml:space="preserve">       </w:t>
            </w:r>
            <w:r>
              <w:rPr>
                <w:rFonts w:ascii="Times New Roman" w:hAnsi="仿宋_GB2312" w:eastAsia="仿宋_GB2312"/>
                <w:sz w:val="24"/>
              </w:rPr>
              <w:t>件；实施行政处罚</w:t>
            </w:r>
            <w:r>
              <w:rPr>
                <w:rFonts w:ascii="Times New Roman" w:hAnsi="Times New Roman" w:eastAsia="仿宋_GB2312"/>
                <w:sz w:val="24"/>
                <w:u w:val="single"/>
              </w:rPr>
              <w:t xml:space="preserve">       </w:t>
            </w:r>
            <w:r>
              <w:rPr>
                <w:rFonts w:ascii="Times New Roman" w:hAnsi="仿宋_GB2312" w:eastAsia="仿宋_GB2312"/>
                <w:sz w:val="24"/>
              </w:rPr>
              <w:t>件；反馈</w:t>
            </w:r>
            <w:r>
              <w:rPr>
                <w:rFonts w:ascii="Times New Roman" w:hAnsi="Times New Roman" w:eastAsia="仿宋_GB2312"/>
                <w:sz w:val="24"/>
                <w:u w:val="single"/>
              </w:rPr>
              <w:t xml:space="preserve">       </w:t>
            </w:r>
            <w:r>
              <w:rPr>
                <w:rFonts w:ascii="Times New Roman" w:hAnsi="仿宋_GB2312" w:eastAsia="仿宋_GB2312"/>
                <w:sz w:val="24"/>
              </w:rPr>
              <w:t>件；举报人满意</w:t>
            </w:r>
            <w:r>
              <w:rPr>
                <w:rFonts w:ascii="Times New Roman" w:hAnsi="Times New Roman" w:eastAsia="仿宋_GB2312"/>
                <w:sz w:val="24"/>
                <w:u w:val="single"/>
              </w:rPr>
              <w:t xml:space="preserve">       </w:t>
            </w:r>
            <w:r>
              <w:rPr>
                <w:rFonts w:ascii="Times New Roman" w:hAnsi="仿宋_GB2312" w:eastAsia="仿宋_GB2312"/>
                <w:sz w:val="24"/>
              </w:rPr>
              <w:t>件。</w:t>
            </w:r>
          </w:p>
        </w:tc>
      </w:tr>
    </w:tbl>
    <w:p>
      <w:pPr>
        <w:ind w:firstLine="640" w:firstLineChars="200"/>
        <w:jc w:val="left"/>
        <w:rPr>
          <w:rFonts w:ascii="Times New Roman" w:hAnsi="Times New Roman" w:eastAsia="仿宋_GB2312"/>
          <w:sz w:val="24"/>
        </w:rPr>
        <w:sectPr>
          <w:headerReference r:id="rId9" w:type="default"/>
          <w:footerReference r:id="rId10" w:type="default"/>
          <w:pgSz w:w="16838" w:h="11906" w:orient="landscape"/>
          <w:pgMar w:top="1560" w:right="1440" w:bottom="1558" w:left="1440" w:header="283" w:footer="283" w:gutter="0"/>
          <w:pgNumType w:fmt="numberInDash"/>
          <w:cols w:space="720" w:num="1"/>
          <w:docGrid w:type="lines" w:linePitch="435" w:charSpace="0"/>
        </w:sectPr>
      </w:pPr>
      <w:r>
        <w:rPr>
          <w:rFonts w:ascii="Times New Roman" w:hAnsi="Times New Roman" w:eastAsia="仿宋_GB2312"/>
          <w:szCs w:val="32"/>
        </w:rPr>
        <w:t xml:space="preserve">  </w:t>
      </w:r>
      <w:r>
        <w:rPr>
          <w:rFonts w:ascii="Times New Roman" w:hAnsi="仿宋_GB2312" w:eastAsia="仿宋_GB2312"/>
          <w:sz w:val="24"/>
        </w:rPr>
        <w:t>备注：机构和人员处罚数据部分可合理缺项。</w:t>
      </w:r>
    </w:p>
    <w:p>
      <w:pPr>
        <w:jc w:val="left"/>
        <w:rPr>
          <w:rFonts w:ascii="黑体" w:hAnsi="黑体" w:eastAsia="黑体"/>
          <w:sz w:val="32"/>
          <w:szCs w:val="32"/>
        </w:rPr>
      </w:pPr>
      <w:r>
        <w:rPr>
          <w:rFonts w:ascii="黑体" w:hAnsi="黑体" w:eastAsia="黑体"/>
          <w:sz w:val="32"/>
          <w:szCs w:val="32"/>
        </w:rPr>
        <w:t>附件2</w:t>
      </w:r>
    </w:p>
    <w:p>
      <w:pPr>
        <w:jc w:val="center"/>
        <w:rPr>
          <w:rFonts w:ascii="Times New Roman" w:hAnsi="Times New Roman" w:eastAsia="方正小标宋简体"/>
          <w:bCs/>
          <w:sz w:val="44"/>
          <w:szCs w:val="44"/>
        </w:rPr>
      </w:pPr>
      <w:r>
        <w:rPr>
          <w:rFonts w:ascii="Times New Roman" w:hAnsi="Times New Roman" w:eastAsia="方正小标宋简体"/>
          <w:bCs/>
          <w:sz w:val="44"/>
          <w:szCs w:val="44"/>
        </w:rPr>
        <w:t>典型案例报送模板</w:t>
      </w:r>
    </w:p>
    <w:p>
      <w:pPr>
        <w:ind w:firstLine="640" w:firstLineChars="200"/>
        <w:jc w:val="left"/>
        <w:rPr>
          <w:rFonts w:ascii="Times New Roman" w:hAnsi="Times New Roman" w:eastAsia="黑体"/>
          <w:szCs w:val="32"/>
        </w:rPr>
      </w:pPr>
    </w:p>
    <w:p>
      <w:pPr>
        <w:ind w:firstLine="640" w:firstLineChars="200"/>
        <w:jc w:val="left"/>
        <w:rPr>
          <w:rFonts w:ascii="Times New Roman" w:hAnsi="Times New Roman" w:eastAsia="黑体"/>
          <w:sz w:val="32"/>
          <w:szCs w:val="32"/>
        </w:rPr>
      </w:pPr>
      <w:r>
        <w:rPr>
          <w:rFonts w:ascii="Times New Roman" w:hAnsi="黑体" w:eastAsia="黑体"/>
          <w:sz w:val="32"/>
          <w:szCs w:val="32"/>
        </w:rPr>
        <w:t>一、</w:t>
      </w:r>
      <w:r>
        <w:rPr>
          <w:rFonts w:ascii="Times New Roman" w:hAnsi="Times New Roman" w:eastAsia="黑体"/>
          <w:sz w:val="32"/>
          <w:szCs w:val="32"/>
        </w:rPr>
        <w:t>XXX</w:t>
      </w:r>
      <w:r>
        <w:rPr>
          <w:rFonts w:ascii="Times New Roman" w:hAnsi="黑体" w:eastAsia="黑体"/>
          <w:sz w:val="32"/>
          <w:szCs w:val="32"/>
        </w:rPr>
        <w:t>县（市、区）案件材料报送目录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25"/>
        <w:gridCol w:w="888"/>
        <w:gridCol w:w="1550"/>
        <w:gridCol w:w="266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center"/>
          </w:tcPr>
          <w:p>
            <w:pPr>
              <w:jc w:val="center"/>
              <w:rPr>
                <w:rFonts w:ascii="Times New Roman" w:hAnsi="Times New Roman" w:eastAsia="黑体"/>
                <w:color w:val="000000"/>
                <w:kern w:val="0"/>
                <w:sz w:val="24"/>
              </w:rPr>
            </w:pPr>
            <w:r>
              <w:rPr>
                <w:rFonts w:ascii="Times New Roman" w:hAnsi="黑体" w:eastAsia="黑体"/>
                <w:color w:val="000000"/>
                <w:kern w:val="0"/>
                <w:sz w:val="24"/>
              </w:rPr>
              <w:t>序号</w:t>
            </w:r>
          </w:p>
        </w:tc>
        <w:tc>
          <w:tcPr>
            <w:tcW w:w="1125" w:type="dxa"/>
            <w:noWrap w:val="0"/>
            <w:vAlign w:val="center"/>
          </w:tcPr>
          <w:p>
            <w:pPr>
              <w:jc w:val="center"/>
              <w:rPr>
                <w:rFonts w:ascii="Times New Roman" w:hAnsi="Times New Roman" w:eastAsia="黑体"/>
                <w:color w:val="000000"/>
                <w:kern w:val="0"/>
                <w:sz w:val="24"/>
              </w:rPr>
            </w:pPr>
            <w:r>
              <w:rPr>
                <w:rFonts w:ascii="Times New Roman" w:hAnsi="黑体" w:eastAsia="黑体"/>
                <w:color w:val="000000"/>
                <w:kern w:val="0"/>
                <w:sz w:val="24"/>
              </w:rPr>
              <w:t>机构</w:t>
            </w:r>
          </w:p>
          <w:p>
            <w:pPr>
              <w:jc w:val="center"/>
              <w:rPr>
                <w:rFonts w:ascii="Times New Roman" w:hAnsi="Times New Roman" w:eastAsia="黑体"/>
                <w:color w:val="000000"/>
                <w:kern w:val="0"/>
                <w:sz w:val="24"/>
              </w:rPr>
            </w:pPr>
            <w:r>
              <w:rPr>
                <w:rFonts w:ascii="Times New Roman" w:hAnsi="黑体" w:eastAsia="黑体"/>
                <w:color w:val="000000"/>
                <w:kern w:val="0"/>
                <w:sz w:val="24"/>
              </w:rPr>
              <w:t>名称</w:t>
            </w:r>
          </w:p>
        </w:tc>
        <w:tc>
          <w:tcPr>
            <w:tcW w:w="888" w:type="dxa"/>
            <w:noWrap w:val="0"/>
            <w:vAlign w:val="center"/>
          </w:tcPr>
          <w:p>
            <w:pPr>
              <w:jc w:val="center"/>
              <w:rPr>
                <w:rFonts w:ascii="Times New Roman" w:hAnsi="Times New Roman" w:eastAsia="黑体"/>
                <w:color w:val="000000"/>
                <w:kern w:val="0"/>
                <w:sz w:val="24"/>
              </w:rPr>
            </w:pPr>
            <w:r>
              <w:rPr>
                <w:rFonts w:ascii="Times New Roman" w:hAnsi="黑体" w:eastAsia="黑体"/>
                <w:color w:val="000000"/>
                <w:kern w:val="0"/>
                <w:sz w:val="24"/>
              </w:rPr>
              <w:t>处罚时间</w:t>
            </w:r>
          </w:p>
        </w:tc>
        <w:tc>
          <w:tcPr>
            <w:tcW w:w="1550" w:type="dxa"/>
            <w:noWrap w:val="0"/>
            <w:vAlign w:val="center"/>
          </w:tcPr>
          <w:p>
            <w:pPr>
              <w:jc w:val="center"/>
              <w:rPr>
                <w:rFonts w:ascii="Times New Roman" w:hAnsi="Times New Roman" w:eastAsia="黑体"/>
                <w:color w:val="000000"/>
                <w:kern w:val="0"/>
                <w:sz w:val="24"/>
              </w:rPr>
            </w:pPr>
            <w:r>
              <w:rPr>
                <w:rFonts w:ascii="Times New Roman" w:hAnsi="黑体" w:eastAsia="黑体"/>
                <w:color w:val="000000"/>
                <w:kern w:val="0"/>
                <w:sz w:val="24"/>
              </w:rPr>
              <w:t>违法事实</w:t>
            </w:r>
          </w:p>
        </w:tc>
        <w:tc>
          <w:tcPr>
            <w:tcW w:w="2662" w:type="dxa"/>
            <w:noWrap w:val="0"/>
            <w:vAlign w:val="center"/>
          </w:tcPr>
          <w:p>
            <w:pPr>
              <w:jc w:val="center"/>
              <w:rPr>
                <w:rFonts w:ascii="Times New Roman" w:hAnsi="Times New Roman" w:eastAsia="黑体"/>
                <w:color w:val="000000"/>
                <w:kern w:val="0"/>
                <w:sz w:val="24"/>
              </w:rPr>
            </w:pPr>
            <w:r>
              <w:rPr>
                <w:rFonts w:ascii="Times New Roman" w:hAnsi="黑体" w:eastAsia="黑体"/>
                <w:color w:val="000000"/>
                <w:kern w:val="0"/>
                <w:sz w:val="24"/>
              </w:rPr>
              <w:t>违反法律及处罚依据</w:t>
            </w:r>
          </w:p>
        </w:tc>
        <w:tc>
          <w:tcPr>
            <w:tcW w:w="1536" w:type="dxa"/>
            <w:noWrap w:val="0"/>
            <w:vAlign w:val="center"/>
          </w:tcPr>
          <w:p>
            <w:pPr>
              <w:jc w:val="center"/>
              <w:rPr>
                <w:rFonts w:ascii="Times New Roman" w:hAnsi="Times New Roman" w:eastAsia="黑体"/>
                <w:color w:val="000000"/>
                <w:kern w:val="0"/>
                <w:sz w:val="24"/>
              </w:rPr>
            </w:pPr>
            <w:r>
              <w:rPr>
                <w:rFonts w:ascii="Times New Roman" w:hAnsi="黑体" w:eastAsia="黑体"/>
                <w:color w:val="000000"/>
                <w:kern w:val="0"/>
                <w:sz w:val="24"/>
              </w:rPr>
              <w:t>行政处罚</w:t>
            </w:r>
          </w:p>
          <w:p>
            <w:pPr>
              <w:jc w:val="center"/>
              <w:rPr>
                <w:rFonts w:ascii="Times New Roman" w:hAnsi="Times New Roman" w:eastAsia="黑体"/>
                <w:color w:val="000000"/>
                <w:kern w:val="0"/>
                <w:sz w:val="24"/>
              </w:rPr>
            </w:pPr>
            <w:r>
              <w:rPr>
                <w:rFonts w:ascii="Times New Roman" w:hAnsi="黑体" w:eastAsia="黑体"/>
                <w:color w:val="000000"/>
                <w:kern w:val="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top"/>
          </w:tcPr>
          <w:p>
            <w:pPr>
              <w:jc w:val="center"/>
              <w:rPr>
                <w:rFonts w:ascii="Times New Roman" w:hAnsi="Times New Roman"/>
                <w:sz w:val="24"/>
              </w:rPr>
            </w:pPr>
            <w:r>
              <w:rPr>
                <w:rFonts w:ascii="Times New Roman" w:hAnsi="Times New Roman"/>
                <w:sz w:val="24"/>
              </w:rPr>
              <w:t>1</w:t>
            </w:r>
          </w:p>
        </w:tc>
        <w:tc>
          <w:tcPr>
            <w:tcW w:w="1125" w:type="dxa"/>
            <w:noWrap w:val="0"/>
            <w:vAlign w:val="top"/>
          </w:tcPr>
          <w:p>
            <w:pPr>
              <w:jc w:val="left"/>
              <w:rPr>
                <w:rFonts w:ascii="Times New Roman" w:hAnsi="Times New Roman" w:eastAsia="仿宋_GB2312"/>
                <w:color w:val="000000"/>
                <w:kern w:val="0"/>
                <w:sz w:val="24"/>
              </w:rPr>
            </w:pPr>
            <w:r>
              <w:rPr>
                <w:rFonts w:ascii="Times New Roman" w:hAnsi="Times New Roman" w:eastAsia="仿宋_GB2312"/>
                <w:color w:val="000000"/>
                <w:kern w:val="0"/>
                <w:sz w:val="24"/>
              </w:rPr>
              <w:t>××</w:t>
            </w:r>
            <w:r>
              <w:rPr>
                <w:rFonts w:ascii="Times New Roman" w:hAnsi="仿宋_GB2312" w:eastAsia="仿宋_GB2312"/>
                <w:color w:val="000000"/>
                <w:kern w:val="0"/>
                <w:sz w:val="24"/>
              </w:rPr>
              <w:t>美容门诊部有限公司</w:t>
            </w:r>
          </w:p>
        </w:tc>
        <w:tc>
          <w:tcPr>
            <w:tcW w:w="888" w:type="dxa"/>
            <w:noWrap w:val="0"/>
            <w:vAlign w:val="top"/>
          </w:tcPr>
          <w:p>
            <w:pPr>
              <w:jc w:val="left"/>
              <w:rPr>
                <w:rFonts w:ascii="Times New Roman" w:hAnsi="Times New Roman" w:eastAsia="仿宋_GB2312"/>
                <w:color w:val="000000"/>
                <w:kern w:val="0"/>
                <w:sz w:val="24"/>
              </w:rPr>
            </w:pPr>
            <w:r>
              <w:rPr>
                <w:rFonts w:ascii="Times New Roman" w:hAnsi="Times New Roman" w:eastAsia="仿宋_GB2312"/>
                <w:color w:val="000000"/>
                <w:kern w:val="0"/>
                <w:sz w:val="24"/>
              </w:rPr>
              <w:t>XX</w:t>
            </w:r>
            <w:r>
              <w:rPr>
                <w:rFonts w:ascii="Times New Roman" w:hAnsi="仿宋_GB2312" w:eastAsia="仿宋_GB2312"/>
                <w:color w:val="000000"/>
                <w:kern w:val="0"/>
                <w:sz w:val="24"/>
              </w:rPr>
              <w:t>年</w:t>
            </w:r>
            <w:r>
              <w:rPr>
                <w:rFonts w:ascii="Times New Roman" w:hAnsi="Times New Roman" w:eastAsia="仿宋_GB2312"/>
                <w:color w:val="000000"/>
                <w:kern w:val="0"/>
                <w:sz w:val="24"/>
              </w:rPr>
              <w:t>XX</w:t>
            </w:r>
            <w:r>
              <w:rPr>
                <w:rFonts w:ascii="Times New Roman" w:hAnsi="仿宋_GB2312" w:eastAsia="仿宋_GB2312"/>
                <w:color w:val="000000"/>
                <w:kern w:val="0"/>
                <w:sz w:val="24"/>
              </w:rPr>
              <w:t>月</w:t>
            </w:r>
            <w:r>
              <w:rPr>
                <w:rFonts w:ascii="Times New Roman" w:hAnsi="Times New Roman" w:eastAsia="仿宋_GB2312"/>
                <w:color w:val="000000"/>
                <w:kern w:val="0"/>
                <w:sz w:val="24"/>
              </w:rPr>
              <w:t>XX</w:t>
            </w:r>
            <w:r>
              <w:rPr>
                <w:rFonts w:ascii="Times New Roman" w:hAnsi="仿宋_GB2312" w:eastAsia="仿宋_GB2312"/>
                <w:color w:val="000000"/>
                <w:kern w:val="0"/>
                <w:sz w:val="24"/>
              </w:rPr>
              <w:t>日</w:t>
            </w:r>
          </w:p>
        </w:tc>
        <w:tc>
          <w:tcPr>
            <w:tcW w:w="1550" w:type="dxa"/>
            <w:noWrap w:val="0"/>
            <w:vAlign w:val="top"/>
          </w:tcPr>
          <w:p>
            <w:pPr>
              <w:jc w:val="left"/>
              <w:rPr>
                <w:rFonts w:ascii="Times New Roman" w:hAnsi="Times New Roman" w:eastAsia="仿宋_GB2312"/>
                <w:color w:val="000000"/>
                <w:kern w:val="0"/>
                <w:sz w:val="24"/>
              </w:rPr>
            </w:pPr>
            <w:r>
              <w:rPr>
                <w:rFonts w:ascii="Times New Roman" w:hAnsi="仿宋_GB2312" w:eastAsia="仿宋_GB2312"/>
                <w:color w:val="000000"/>
                <w:kern w:val="0"/>
                <w:sz w:val="24"/>
              </w:rPr>
              <w:t>超范围开展二级手术项目（隆胸术等）</w:t>
            </w:r>
          </w:p>
        </w:tc>
        <w:tc>
          <w:tcPr>
            <w:tcW w:w="2662" w:type="dxa"/>
            <w:noWrap w:val="0"/>
            <w:vAlign w:val="top"/>
          </w:tcPr>
          <w:p>
            <w:pPr>
              <w:jc w:val="left"/>
              <w:rPr>
                <w:rFonts w:ascii="Times New Roman" w:hAnsi="Times New Roman" w:eastAsia="仿宋_GB2312"/>
                <w:color w:val="000000"/>
                <w:kern w:val="0"/>
                <w:sz w:val="24"/>
              </w:rPr>
            </w:pPr>
            <w:r>
              <w:rPr>
                <w:rFonts w:ascii="Times New Roman" w:hAnsi="仿宋_GB2312" w:eastAsia="仿宋_GB2312"/>
                <w:color w:val="000000"/>
                <w:kern w:val="0"/>
                <w:sz w:val="24"/>
              </w:rPr>
              <w:t>违反了《医疗美容管理办法》第</w:t>
            </w:r>
            <w:r>
              <w:rPr>
                <w:rFonts w:ascii="Times New Roman" w:hAnsi="Times New Roman" w:eastAsia="仿宋_GB2312"/>
                <w:color w:val="000000"/>
                <w:kern w:val="0"/>
                <w:sz w:val="24"/>
              </w:rPr>
              <w:t>XX</w:t>
            </w:r>
            <w:r>
              <w:rPr>
                <w:rFonts w:ascii="Times New Roman" w:hAnsi="仿宋_GB2312" w:eastAsia="仿宋_GB2312"/>
                <w:color w:val="000000"/>
                <w:kern w:val="0"/>
                <w:sz w:val="24"/>
              </w:rPr>
              <w:t>条；</w:t>
            </w:r>
          </w:p>
          <w:p>
            <w:pPr>
              <w:jc w:val="left"/>
              <w:rPr>
                <w:rFonts w:ascii="Times New Roman" w:hAnsi="Times New Roman" w:eastAsia="仿宋_GB2312"/>
                <w:color w:val="000000"/>
                <w:kern w:val="0"/>
                <w:sz w:val="24"/>
              </w:rPr>
            </w:pPr>
            <w:r>
              <w:rPr>
                <w:rFonts w:ascii="Times New Roman" w:hAnsi="仿宋_GB2312" w:eastAsia="仿宋_GB2312"/>
                <w:color w:val="000000"/>
                <w:kern w:val="0"/>
                <w:sz w:val="24"/>
              </w:rPr>
              <w:t>按照《医疗机构管理条例实施细则》第</w:t>
            </w:r>
            <w:r>
              <w:rPr>
                <w:rFonts w:ascii="Times New Roman" w:hAnsi="Times New Roman" w:eastAsia="仿宋_GB2312"/>
                <w:color w:val="000000"/>
                <w:kern w:val="0"/>
                <w:sz w:val="24"/>
              </w:rPr>
              <w:t>XX</w:t>
            </w:r>
            <w:r>
              <w:rPr>
                <w:rFonts w:ascii="Times New Roman" w:hAnsi="仿宋_GB2312" w:eastAsia="仿宋_GB2312"/>
                <w:color w:val="000000"/>
                <w:kern w:val="0"/>
                <w:sz w:val="24"/>
              </w:rPr>
              <w:t>条进行处罚</w:t>
            </w:r>
          </w:p>
        </w:tc>
        <w:tc>
          <w:tcPr>
            <w:tcW w:w="1536" w:type="dxa"/>
            <w:noWrap w:val="0"/>
            <w:vAlign w:val="top"/>
          </w:tcPr>
          <w:p>
            <w:pPr>
              <w:jc w:val="left"/>
              <w:rPr>
                <w:rFonts w:ascii="Times New Roman" w:hAnsi="Times New Roman" w:eastAsia="仿宋_GB2312"/>
                <w:color w:val="000000"/>
                <w:kern w:val="0"/>
                <w:sz w:val="24"/>
              </w:rPr>
            </w:pPr>
            <w:r>
              <w:rPr>
                <w:rFonts w:ascii="Times New Roman" w:hAnsi="仿宋_GB2312" w:eastAsia="仿宋_GB2312"/>
                <w:color w:val="000000"/>
                <w:kern w:val="0"/>
                <w:sz w:val="24"/>
              </w:rPr>
              <w:t>警告</w:t>
            </w:r>
            <w:r>
              <w:rPr>
                <w:rFonts w:hint="eastAsia" w:ascii="Times New Roman" w:hAnsi="仿宋_GB2312"/>
                <w:color w:val="000000"/>
                <w:kern w:val="0"/>
                <w:sz w:val="24"/>
                <w:lang w:eastAsia="zh-CN"/>
              </w:rPr>
              <w:t>，</w:t>
            </w:r>
            <w:bookmarkStart w:id="0" w:name="_GoBack"/>
            <w:bookmarkEnd w:id="0"/>
            <w:r>
              <w:rPr>
                <w:rFonts w:ascii="Times New Roman" w:hAnsi="仿宋_GB2312" w:eastAsia="仿宋_GB2312"/>
                <w:color w:val="000000"/>
                <w:kern w:val="0"/>
                <w:sz w:val="24"/>
              </w:rPr>
              <w:t>（罚款：</w:t>
            </w:r>
            <w:r>
              <w:rPr>
                <w:rFonts w:ascii="Times New Roman" w:hAnsi="Times New Roman" w:eastAsia="仿宋_GB2312"/>
                <w:color w:val="000000"/>
                <w:kern w:val="0"/>
                <w:sz w:val="24"/>
              </w:rPr>
              <w:t xml:space="preserve">  </w:t>
            </w:r>
            <w:r>
              <w:rPr>
                <w:rFonts w:ascii="Times New Roman" w:hAnsi="仿宋_GB2312" w:eastAsia="仿宋_GB2312"/>
                <w:color w:val="000000"/>
                <w:kern w:val="0"/>
                <w:sz w:val="24"/>
              </w:rPr>
              <w:t>元）；行政强制及其他措施：责令改正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top"/>
          </w:tcPr>
          <w:p>
            <w:pPr>
              <w:jc w:val="center"/>
              <w:rPr>
                <w:rFonts w:ascii="Times New Roman" w:hAnsi="Times New Roman"/>
                <w:sz w:val="24"/>
              </w:rPr>
            </w:pPr>
            <w:r>
              <w:rPr>
                <w:rFonts w:ascii="Times New Roman" w:hAnsi="Times New Roman"/>
                <w:sz w:val="24"/>
              </w:rPr>
              <w:t>2</w:t>
            </w:r>
          </w:p>
        </w:tc>
        <w:tc>
          <w:tcPr>
            <w:tcW w:w="1125" w:type="dxa"/>
            <w:noWrap w:val="0"/>
            <w:vAlign w:val="top"/>
          </w:tcPr>
          <w:p>
            <w:pPr>
              <w:ind w:firstLine="480" w:firstLineChars="200"/>
              <w:jc w:val="left"/>
              <w:rPr>
                <w:rFonts w:ascii="Times New Roman" w:hAnsi="Times New Roman"/>
                <w:color w:val="000000"/>
                <w:kern w:val="0"/>
                <w:sz w:val="24"/>
              </w:rPr>
            </w:pPr>
          </w:p>
        </w:tc>
        <w:tc>
          <w:tcPr>
            <w:tcW w:w="888" w:type="dxa"/>
            <w:noWrap w:val="0"/>
            <w:vAlign w:val="top"/>
          </w:tcPr>
          <w:p>
            <w:pPr>
              <w:ind w:firstLine="480" w:firstLineChars="200"/>
              <w:jc w:val="left"/>
              <w:rPr>
                <w:rFonts w:ascii="Times New Roman" w:hAnsi="Times New Roman"/>
                <w:color w:val="000000"/>
                <w:kern w:val="0"/>
                <w:sz w:val="24"/>
              </w:rPr>
            </w:pPr>
          </w:p>
        </w:tc>
        <w:tc>
          <w:tcPr>
            <w:tcW w:w="1550" w:type="dxa"/>
            <w:noWrap w:val="0"/>
            <w:vAlign w:val="top"/>
          </w:tcPr>
          <w:p>
            <w:pPr>
              <w:ind w:firstLine="480" w:firstLineChars="200"/>
              <w:jc w:val="left"/>
              <w:rPr>
                <w:rFonts w:ascii="Times New Roman" w:hAnsi="Times New Roman"/>
                <w:color w:val="000000"/>
                <w:kern w:val="0"/>
                <w:sz w:val="24"/>
              </w:rPr>
            </w:pPr>
          </w:p>
        </w:tc>
        <w:tc>
          <w:tcPr>
            <w:tcW w:w="2662" w:type="dxa"/>
            <w:noWrap w:val="0"/>
            <w:vAlign w:val="top"/>
          </w:tcPr>
          <w:p>
            <w:pPr>
              <w:ind w:firstLine="480" w:firstLineChars="200"/>
              <w:jc w:val="left"/>
              <w:rPr>
                <w:rFonts w:ascii="Times New Roman" w:hAnsi="Times New Roman"/>
                <w:color w:val="000000"/>
                <w:kern w:val="0"/>
                <w:sz w:val="24"/>
              </w:rPr>
            </w:pPr>
          </w:p>
        </w:tc>
        <w:tc>
          <w:tcPr>
            <w:tcW w:w="1536" w:type="dxa"/>
            <w:noWrap w:val="0"/>
            <w:vAlign w:val="top"/>
          </w:tcPr>
          <w:p>
            <w:pPr>
              <w:ind w:firstLine="480" w:firstLineChars="200"/>
              <w:jc w:val="left"/>
              <w:rPr>
                <w:rFonts w:ascii="Times New Roman" w:hAnsi="Times New Roman"/>
                <w:color w:val="000000"/>
                <w:kern w:val="0"/>
                <w:sz w:val="24"/>
              </w:rPr>
            </w:pPr>
          </w:p>
        </w:tc>
      </w:tr>
    </w:tbl>
    <w:p>
      <w:pPr>
        <w:spacing w:line="600" w:lineRule="exact"/>
        <w:ind w:firstLine="640" w:firstLineChars="200"/>
        <w:jc w:val="left"/>
        <w:rPr>
          <w:rFonts w:ascii="Times New Roman" w:hAnsi="Times New Roman" w:eastAsia="黑体"/>
          <w:sz w:val="32"/>
          <w:szCs w:val="32"/>
        </w:rPr>
      </w:pPr>
      <w:r>
        <w:rPr>
          <w:rFonts w:ascii="Times New Roman" w:hAnsi="黑体" w:eastAsia="黑体"/>
          <w:sz w:val="32"/>
          <w:szCs w:val="32"/>
        </w:rPr>
        <w:t>二、案情概述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b w:val="0"/>
          <w:bCs/>
          <w:sz w:val="32"/>
          <w:szCs w:val="32"/>
        </w:rPr>
      </w:pPr>
      <w:r>
        <w:rPr>
          <w:rFonts w:ascii="Times New Roman" w:hAnsi="Times New Roman" w:eastAsia="仿宋_GB2312"/>
          <w:b w:val="0"/>
          <w:bCs/>
          <w:sz w:val="32"/>
          <w:szCs w:val="32"/>
        </w:rPr>
        <w:t>1.XXX医疗美容门诊部超范围开展二级手术项目案（样例）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ascii="Times New Roman" w:hAnsi="仿宋_GB2312" w:eastAsia="仿宋_GB2312"/>
          <w:sz w:val="32"/>
          <w:szCs w:val="32"/>
        </w:rPr>
        <w:t>当事人在机构大厅内设置隆胸宣传栏，内见韩式整形等字样，并在诊室提供隆胸相关手术咨询和设计，展示区可见隆胸假体。当事人不具备条件开展隆胸，违反了《医疗美容管理办法》第</w:t>
      </w:r>
      <w:r>
        <w:rPr>
          <w:rFonts w:ascii="Times New Roman" w:hAnsi="Times New Roman" w:eastAsia="仿宋_GB2312"/>
          <w:sz w:val="32"/>
          <w:szCs w:val="32"/>
        </w:rPr>
        <w:t>XX</w:t>
      </w:r>
      <w:r>
        <w:rPr>
          <w:rFonts w:ascii="Times New Roman" w:hAnsi="仿宋_GB2312" w:eastAsia="仿宋_GB2312"/>
          <w:sz w:val="32"/>
          <w:szCs w:val="32"/>
        </w:rPr>
        <w:t>条、《医疗机构管理条例实施细则》第</w:t>
      </w:r>
      <w:r>
        <w:rPr>
          <w:rFonts w:ascii="Times New Roman" w:hAnsi="Times New Roman" w:eastAsia="仿宋_GB2312"/>
          <w:sz w:val="32"/>
          <w:szCs w:val="32"/>
        </w:rPr>
        <w:t>XX</w:t>
      </w:r>
      <w:r>
        <w:rPr>
          <w:rFonts w:ascii="Times New Roman" w:hAnsi="仿宋_GB2312" w:eastAsia="仿宋_GB2312"/>
          <w:sz w:val="32"/>
          <w:szCs w:val="32"/>
        </w:rPr>
        <w:t>条，按照《医疗机构管理条例实施细则》第</w:t>
      </w:r>
      <w:r>
        <w:rPr>
          <w:rFonts w:ascii="Times New Roman" w:hAnsi="Times New Roman" w:eastAsia="仿宋_GB2312"/>
          <w:sz w:val="32"/>
          <w:szCs w:val="32"/>
        </w:rPr>
        <w:t>XX</w:t>
      </w:r>
      <w:r>
        <w:rPr>
          <w:rFonts w:ascii="Times New Roman" w:hAnsi="仿宋_GB2312" w:eastAsia="仿宋_GB2312"/>
          <w:sz w:val="32"/>
          <w:szCs w:val="32"/>
        </w:rPr>
        <w:t>条进行处罚。</w:t>
      </w:r>
      <w:r>
        <w:rPr>
          <w:rFonts w:ascii="Times New Roman" w:hAnsi="Times New Roman" w:eastAsia="仿宋_GB2312"/>
          <w:sz w:val="32"/>
          <w:szCs w:val="32"/>
        </w:rPr>
        <w:t>XX</w:t>
      </w:r>
      <w:r>
        <w:rPr>
          <w:rFonts w:ascii="Times New Roman" w:hAnsi="仿宋_GB2312" w:eastAsia="仿宋_GB2312"/>
          <w:sz w:val="32"/>
          <w:szCs w:val="32"/>
        </w:rPr>
        <w:t>年</w:t>
      </w:r>
      <w:r>
        <w:rPr>
          <w:rFonts w:ascii="Times New Roman" w:hAnsi="Times New Roman" w:eastAsia="仿宋_GB2312"/>
          <w:sz w:val="32"/>
          <w:szCs w:val="32"/>
        </w:rPr>
        <w:t>XX</w:t>
      </w:r>
      <w:r>
        <w:rPr>
          <w:rFonts w:ascii="Times New Roman" w:hAnsi="仿宋_GB2312" w:eastAsia="仿宋_GB2312"/>
          <w:sz w:val="32"/>
          <w:szCs w:val="32"/>
        </w:rPr>
        <w:t>月</w:t>
      </w:r>
      <w:r>
        <w:rPr>
          <w:rFonts w:ascii="Times New Roman" w:hAnsi="Times New Roman" w:eastAsia="仿宋_GB2312"/>
          <w:sz w:val="32"/>
          <w:szCs w:val="32"/>
        </w:rPr>
        <w:t>XX</w:t>
      </w:r>
      <w:r>
        <w:rPr>
          <w:rFonts w:ascii="Times New Roman" w:hAnsi="仿宋_GB2312" w:eastAsia="仿宋_GB2312"/>
          <w:sz w:val="32"/>
          <w:szCs w:val="32"/>
        </w:rPr>
        <w:t>日，</w:t>
      </w:r>
      <w:r>
        <w:rPr>
          <w:rFonts w:ascii="Times New Roman" w:hAnsi="Times New Roman" w:eastAsia="仿宋_GB2312"/>
          <w:sz w:val="32"/>
          <w:szCs w:val="32"/>
        </w:rPr>
        <w:t>XX</w:t>
      </w:r>
      <w:r>
        <w:rPr>
          <w:rFonts w:ascii="Times New Roman" w:hAnsi="仿宋_GB2312" w:eastAsia="仿宋_GB2312"/>
          <w:sz w:val="32"/>
          <w:szCs w:val="32"/>
        </w:rPr>
        <w:t>市</w:t>
      </w:r>
      <w:r>
        <w:rPr>
          <w:rFonts w:ascii="Times New Roman" w:hAnsi="Times New Roman" w:eastAsia="仿宋_GB2312"/>
          <w:sz w:val="32"/>
          <w:szCs w:val="32"/>
        </w:rPr>
        <w:t>XX</w:t>
      </w:r>
      <w:r>
        <w:rPr>
          <w:rFonts w:ascii="Times New Roman" w:hAnsi="仿宋_GB2312" w:eastAsia="仿宋_GB2312"/>
          <w:sz w:val="32"/>
          <w:szCs w:val="32"/>
        </w:rPr>
        <w:t>卫生监督局作出行政处罚决定，责令改正并处罚款</w:t>
      </w:r>
      <w:r>
        <w:rPr>
          <w:rFonts w:ascii="Times New Roman" w:hAnsi="Times New Roman" w:eastAsia="仿宋_GB2312"/>
          <w:sz w:val="32"/>
          <w:szCs w:val="32"/>
        </w:rPr>
        <w:t>XXXX</w:t>
      </w:r>
      <w:r>
        <w:rPr>
          <w:rFonts w:ascii="Times New Roman" w:hAnsi="仿宋_GB2312" w:eastAsia="仿宋_GB2312"/>
          <w:sz w:val="32"/>
          <w:szCs w:val="32"/>
        </w:rPr>
        <w:t>元。</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28"/>
          <w:szCs w:val="28"/>
        </w:rPr>
        <w:sectPr>
          <w:headerReference r:id="rId11" w:type="default"/>
          <w:footerReference r:id="rId12" w:type="default"/>
          <w:pgSz w:w="11906" w:h="16838"/>
          <w:pgMar w:top="1644" w:right="1474" w:bottom="1991" w:left="1588" w:header="851" w:footer="851" w:gutter="0"/>
          <w:pgBorders>
            <w:top w:val="none" w:sz="0" w:space="0"/>
            <w:left w:val="none" w:sz="0" w:space="0"/>
            <w:bottom w:val="none" w:sz="0" w:space="0"/>
            <w:right w:val="none" w:sz="0" w:space="0"/>
          </w:pgBorders>
          <w:pgNumType w:fmt="numberInDash"/>
          <w:cols w:space="0" w:num="1"/>
          <w:rtlGutter w:val="0"/>
          <w:docGrid w:linePitch="579" w:charSpace="0"/>
        </w:sectPr>
      </w:pPr>
    </w:p>
    <w:tbl>
      <w:tblPr>
        <w:tblStyle w:val="13"/>
        <w:tblpPr w:leftFromText="180" w:rightFromText="180" w:vertAnchor="text" w:horzAnchor="page" w:tblpX="1519" w:tblpY="1260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280"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eastAsia="仿宋_GB2312" w:cs="Times New Roman"/>
                <w:b w:val="0"/>
                <w:bCs w:val="0"/>
                <w:sz w:val="28"/>
                <w:szCs w:val="28"/>
                <w:lang w:val="en-US" w:eastAsia="zh-CN"/>
              </w:rPr>
              <w:t xml:space="preserve">          </w:t>
            </w:r>
            <w:r>
              <w:rPr>
                <w:rFonts w:hint="eastAsia" w:asci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eastAsia" w:ascii="Times New Roman" w:cs="Times New Roman"/>
                <w:b w:val="0"/>
                <w:bCs w:val="0"/>
                <w:sz w:val="28"/>
                <w:szCs w:val="28"/>
                <w:lang w:val="en-US" w:eastAsia="zh-CN"/>
              </w:rPr>
              <w:t>10</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8</w:t>
            </w:r>
            <w:r>
              <w:rPr>
                <w:rFonts w:hint="default" w:ascii="Times New Roman" w:hAnsi="Times New Roman" w:eastAsia="仿宋_GB2312" w:cs="Times New Roman"/>
                <w:b w:val="0"/>
                <w:bCs w:val="0"/>
                <w:sz w:val="28"/>
                <w:szCs w:val="28"/>
              </w:rPr>
              <w:t>日印发</w:t>
            </w:r>
          </w:p>
        </w:tc>
      </w:tr>
    </w:tbl>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13" w:type="default"/>
      <w:pgSz w:w="11906" w:h="16838"/>
      <w:pgMar w:top="1644" w:right="1474" w:bottom="1991" w:left="1588" w:header="851" w:footer="851" w:gutter="0"/>
      <w:pgBorders>
        <w:top w:val="none" w:sz="0" w:space="0"/>
        <w:left w:val="none" w:sz="0" w:space="0"/>
        <w:bottom w:val="none" w:sz="0" w:space="0"/>
        <w:right w:val="none" w:sz="0" w:space="0"/>
      </w:pgBorders>
      <w:pgNumType w:fmt="numberInDash"/>
      <w:cols w:space="0" w:num="1"/>
      <w:rtlGutter w:val="0"/>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38143CC8">
      <w:pPr>
        <w:pStyle w:val="3"/>
        <w:rPr>
          <w:sz w:val="28"/>
          <w:szCs w:val="28"/>
        </w:rPr>
      </w:pPr>
      <w:r>
        <w:rPr>
          <w:rFonts w:hint="eastAsia"/>
          <w:sz w:val="28"/>
          <w:szCs w:val="28"/>
        </w:rPr>
        <w:t>仿宋GB2312 三号</w:t>
      </w:r>
    </w:p>
  </w:comment>
  <w:comment w:id="1" w:author="Administrator" w:date="2020-08-12T15:28:00Z" w:initials="A">
    <w:p w14:paraId="0A3572C2">
      <w:pPr>
        <w:pStyle w:val="3"/>
      </w:pPr>
      <w:r>
        <w:rPr>
          <w:rFonts w:hint="eastAsia"/>
        </w:rPr>
        <w:t>括号为龟壳型括号</w:t>
      </w:r>
    </w:p>
  </w:comment>
  <w:comment w:id="2" w:author="Administrator" w:date="2020-08-12T15:35:00Z" w:initials="A">
    <w:p w14:paraId="439F45DA">
      <w:pPr>
        <w:pStyle w:val="3"/>
      </w:pPr>
      <w:r>
        <w:rPr>
          <w:rFonts w:hint="eastAsia"/>
        </w:rPr>
        <w:t>数字字体为Times New Roman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143CC8" w15:done="0"/>
  <w15:commentEx w15:paraId="0A3572C2" w15:done="0"/>
  <w15:commentEx w15:paraId="439F45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txbxContent>
          </v:textbox>
        </v:shape>
      </w:pict>
    </w:r>
  </w:p>
  <w:p>
    <w:pPr>
      <w:pStyle w:val="8"/>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5" o:spid="_x0000_s3075" o:spt="202" type="#_x0000_t202" style="position:absolute;left:0pt;margin-left:395.95pt;margin-top:-9.35pt;height:144pt;width:144p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w:pict>
        <v:shape id="_x0000_s3076" o:spid="_x0000_s307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v:textbox>
        </v:shape>
      </w:pic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Style w:val="17"/>
        <w:rFonts w:ascii="宋体" w:hAnsi="宋体" w:eastAsia="宋体"/>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jc w:val="right"/>
                  <w:rPr>
                    <w:rFonts w:hint="default" w:ascii="Times New Roman" w:hAnsi="Times New Roman" w:eastAsia="仿宋_GB2312" w:cs="Times New Roman"/>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- 10 -</w:t>
                </w:r>
                <w:r>
                  <w:rPr>
                    <w:rFonts w:hint="eastAsia" w:ascii="仿宋" w:hAnsi="仿宋" w:eastAsia="仿宋" w:cs="仿宋"/>
                    <w:sz w:val="28"/>
                    <w:szCs w:val="28"/>
                    <w:lang w:eastAsia="zh-CN"/>
                  </w:rPr>
                  <w:fldChar w:fldCharType="end"/>
                </w:r>
              </w:p>
            </w:txbxContent>
          </v:textbox>
        </v:shape>
      </w:pict>
    </w:r>
  </w:p>
  <w:p>
    <w:pPr>
      <w:pStyle w:val="8"/>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Style w:val="17"/>
        <w:rFonts w:ascii="宋体" w:hAnsi="宋体" w:eastAsia="宋体"/>
        <w:sz w:val="28"/>
        <w:szCs w:val="28"/>
      </w:rPr>
    </w:pPr>
  </w:p>
  <w:p>
    <w:pPr>
      <w:pStyle w:val="8"/>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1473E"/>
    <w:rsid w:val="0013342F"/>
    <w:rsid w:val="0014458E"/>
    <w:rsid w:val="00150F3D"/>
    <w:rsid w:val="00184EB1"/>
    <w:rsid w:val="001A497F"/>
    <w:rsid w:val="001E2B24"/>
    <w:rsid w:val="001E39D5"/>
    <w:rsid w:val="00223952"/>
    <w:rsid w:val="00237E3D"/>
    <w:rsid w:val="0024018B"/>
    <w:rsid w:val="002409E0"/>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B2487"/>
    <w:rsid w:val="003F0C33"/>
    <w:rsid w:val="003F2AEB"/>
    <w:rsid w:val="00400D81"/>
    <w:rsid w:val="00436226"/>
    <w:rsid w:val="004601C6"/>
    <w:rsid w:val="004611BD"/>
    <w:rsid w:val="00477972"/>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A1851"/>
    <w:rsid w:val="00FB0C40"/>
    <w:rsid w:val="02B43DA4"/>
    <w:rsid w:val="039B6263"/>
    <w:rsid w:val="048039F3"/>
    <w:rsid w:val="05591065"/>
    <w:rsid w:val="05D404E0"/>
    <w:rsid w:val="061B1417"/>
    <w:rsid w:val="069C3404"/>
    <w:rsid w:val="075A1D61"/>
    <w:rsid w:val="07CA072D"/>
    <w:rsid w:val="09E279D3"/>
    <w:rsid w:val="0A430C46"/>
    <w:rsid w:val="0CC8329E"/>
    <w:rsid w:val="0E1729A8"/>
    <w:rsid w:val="0E862009"/>
    <w:rsid w:val="0F063B77"/>
    <w:rsid w:val="0F3171B8"/>
    <w:rsid w:val="0F972FDA"/>
    <w:rsid w:val="11BB7EC3"/>
    <w:rsid w:val="11C4607F"/>
    <w:rsid w:val="122E1437"/>
    <w:rsid w:val="12E60324"/>
    <w:rsid w:val="13300EAC"/>
    <w:rsid w:val="135F1B25"/>
    <w:rsid w:val="14307AB5"/>
    <w:rsid w:val="166432DE"/>
    <w:rsid w:val="18EE4959"/>
    <w:rsid w:val="18F90C04"/>
    <w:rsid w:val="1A8F728A"/>
    <w:rsid w:val="1B774512"/>
    <w:rsid w:val="1C316059"/>
    <w:rsid w:val="1D466208"/>
    <w:rsid w:val="1D557444"/>
    <w:rsid w:val="1EE76CC2"/>
    <w:rsid w:val="1F190DB8"/>
    <w:rsid w:val="1F3D77E0"/>
    <w:rsid w:val="20A84DB4"/>
    <w:rsid w:val="24A2348E"/>
    <w:rsid w:val="250F21B9"/>
    <w:rsid w:val="25C02810"/>
    <w:rsid w:val="276719BC"/>
    <w:rsid w:val="2AD44A7A"/>
    <w:rsid w:val="2B1C18E9"/>
    <w:rsid w:val="2FA55DBA"/>
    <w:rsid w:val="30076DB4"/>
    <w:rsid w:val="30577252"/>
    <w:rsid w:val="31332562"/>
    <w:rsid w:val="32F067E7"/>
    <w:rsid w:val="332B25F7"/>
    <w:rsid w:val="35CA55E2"/>
    <w:rsid w:val="36861C5B"/>
    <w:rsid w:val="39F23F75"/>
    <w:rsid w:val="3A0361AA"/>
    <w:rsid w:val="3A2716CC"/>
    <w:rsid w:val="3B9A0EC6"/>
    <w:rsid w:val="3BDE3C0C"/>
    <w:rsid w:val="3C3901C4"/>
    <w:rsid w:val="3E06632A"/>
    <w:rsid w:val="3E2C5FE8"/>
    <w:rsid w:val="3EA918CF"/>
    <w:rsid w:val="3ED121DC"/>
    <w:rsid w:val="3F35659B"/>
    <w:rsid w:val="3F6E1769"/>
    <w:rsid w:val="44211C2C"/>
    <w:rsid w:val="44E35A54"/>
    <w:rsid w:val="46EB6E72"/>
    <w:rsid w:val="47870827"/>
    <w:rsid w:val="487174F7"/>
    <w:rsid w:val="49611FE4"/>
    <w:rsid w:val="4B81019D"/>
    <w:rsid w:val="4B962345"/>
    <w:rsid w:val="4B9C7610"/>
    <w:rsid w:val="505E2B34"/>
    <w:rsid w:val="519640F5"/>
    <w:rsid w:val="523915A9"/>
    <w:rsid w:val="527D4E9F"/>
    <w:rsid w:val="528E03A4"/>
    <w:rsid w:val="54097BF3"/>
    <w:rsid w:val="54237DE4"/>
    <w:rsid w:val="545153AA"/>
    <w:rsid w:val="54635CDD"/>
    <w:rsid w:val="5473156C"/>
    <w:rsid w:val="54C72582"/>
    <w:rsid w:val="54CF65DA"/>
    <w:rsid w:val="58D3772A"/>
    <w:rsid w:val="59762D35"/>
    <w:rsid w:val="599C5923"/>
    <w:rsid w:val="5BFD2AF2"/>
    <w:rsid w:val="5C2C208F"/>
    <w:rsid w:val="5C646AF8"/>
    <w:rsid w:val="5D0E0908"/>
    <w:rsid w:val="5D5118F2"/>
    <w:rsid w:val="5DF77B5B"/>
    <w:rsid w:val="605A041B"/>
    <w:rsid w:val="622C5E95"/>
    <w:rsid w:val="64155D3B"/>
    <w:rsid w:val="65786F5D"/>
    <w:rsid w:val="65CC1B6D"/>
    <w:rsid w:val="66B7143D"/>
    <w:rsid w:val="66CDBC37"/>
    <w:rsid w:val="66EC3709"/>
    <w:rsid w:val="67415C7A"/>
    <w:rsid w:val="677A2801"/>
    <w:rsid w:val="68241926"/>
    <w:rsid w:val="68E97A29"/>
    <w:rsid w:val="69536033"/>
    <w:rsid w:val="6ACF6908"/>
    <w:rsid w:val="6F4D1B1E"/>
    <w:rsid w:val="6F6A441D"/>
    <w:rsid w:val="71077344"/>
    <w:rsid w:val="71E64E2A"/>
    <w:rsid w:val="73C5694F"/>
    <w:rsid w:val="74784C48"/>
    <w:rsid w:val="75BE721E"/>
    <w:rsid w:val="75F06652"/>
    <w:rsid w:val="76133C3B"/>
    <w:rsid w:val="768478B5"/>
    <w:rsid w:val="77431939"/>
    <w:rsid w:val="7A266A68"/>
    <w:rsid w:val="7A687ADB"/>
    <w:rsid w:val="7C052F11"/>
    <w:rsid w:val="7C2E36DC"/>
    <w:rsid w:val="7CD10157"/>
    <w:rsid w:val="7ECE51D9"/>
    <w:rsid w:val="BEFDC456"/>
    <w:rsid w:val="BFD67B03"/>
    <w:rsid w:val="DD1D1D94"/>
    <w:rsid w:val="EBFE742E"/>
    <w:rsid w:val="EC72D3A3"/>
    <w:rsid w:val="F7BC7886"/>
    <w:rsid w:val="FA6E1F29"/>
    <w:rsid w:val="FBD7248F"/>
    <w:rsid w:val="FDDFBC9D"/>
    <w:rsid w:val="FE5F248B"/>
    <w:rsid w:val="FE9F7291"/>
    <w:rsid w:val="FFFA57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9"/>
    </w:rPr>
  </w:style>
  <w:style w:type="paragraph" w:styleId="3">
    <w:name w:val="annotation text"/>
    <w:basedOn w:val="1"/>
    <w:semiHidden/>
    <w:unhideWhenUsed/>
    <w:qFormat/>
    <w:uiPriority w:val="99"/>
    <w:pPr>
      <w:jc w:val="left"/>
    </w:pPr>
  </w:style>
  <w:style w:type="paragraph" w:styleId="4">
    <w:name w:val="Body Text Indent"/>
    <w:basedOn w:val="1"/>
    <w:link w:val="19"/>
    <w:semiHidden/>
    <w:unhideWhenUsed/>
    <w:qFormat/>
    <w:uiPriority w:val="99"/>
    <w:pPr>
      <w:spacing w:after="120"/>
      <w:ind w:left="420" w:leftChars="200"/>
    </w:pPr>
  </w:style>
  <w:style w:type="paragraph" w:styleId="5">
    <w:name w:val="Plain Text"/>
    <w:basedOn w:val="1"/>
    <w:qFormat/>
    <w:uiPriority w:val="0"/>
    <w:rPr>
      <w:rFonts w:ascii="宋体" w:hAnsi="Courier New"/>
      <w:szCs w:val="20"/>
      <w:lang w:bidi="ar-SA"/>
    </w:rPr>
  </w:style>
  <w:style w:type="paragraph" w:styleId="6">
    <w:name w:val="Date"/>
    <w:basedOn w:val="1"/>
    <w:next w:val="1"/>
    <w:link w:val="28"/>
    <w:semiHidden/>
    <w:unhideWhenUsed/>
    <w:qFormat/>
    <w:uiPriority w:val="99"/>
    <w:pPr>
      <w:ind w:left="100" w:leftChars="2500"/>
    </w:pPr>
  </w:style>
  <w:style w:type="paragraph" w:styleId="7">
    <w:name w:val="Balloon Text"/>
    <w:basedOn w:val="1"/>
    <w:link w:val="26"/>
    <w:qFormat/>
    <w:uiPriority w:val="0"/>
    <w:rPr>
      <w:rFonts w:ascii="Calibri" w:hAnsi="Calibri" w:eastAsiaTheme="minorEastAsia" w:cstheme="minorBidi"/>
      <w:sz w:val="18"/>
      <w:szCs w:val="18"/>
    </w:rPr>
  </w:style>
  <w:style w:type="paragraph" w:styleId="8">
    <w:name w:val="footer"/>
    <w:basedOn w:val="1"/>
    <w:link w:val="22"/>
    <w:qFormat/>
    <w:uiPriority w:val="99"/>
    <w:pPr>
      <w:tabs>
        <w:tab w:val="center" w:pos="4153"/>
        <w:tab w:val="right" w:pos="8306"/>
      </w:tabs>
      <w:snapToGrid w:val="0"/>
      <w:jc w:val="left"/>
    </w:pPr>
    <w:rPr>
      <w:rFonts w:hAnsiTheme="minorHAnsi" w:cstheme="minorBidi"/>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0">
    <w:name w:val="Normal (Web)"/>
    <w:basedOn w:val="1"/>
    <w:unhideWhenUsed/>
    <w:qFormat/>
    <w:uiPriority w:val="0"/>
    <w:pPr>
      <w:jc w:val="left"/>
    </w:pPr>
    <w:rPr>
      <w:rFonts w:ascii="Times New Roman" w:eastAsia="宋体"/>
      <w:kern w:val="0"/>
      <w:sz w:val="24"/>
      <w:szCs w:val="20"/>
    </w:rPr>
  </w:style>
  <w:style w:type="paragraph" w:styleId="11">
    <w:name w:val="Body Text First Indent"/>
    <w:basedOn w:val="2"/>
    <w:qFormat/>
    <w:uiPriority w:val="0"/>
    <w:pPr>
      <w:ind w:firstLine="420" w:firstLineChars="100"/>
    </w:pPr>
    <w:rPr>
      <w:sz w:val="20"/>
    </w:rPr>
  </w:style>
  <w:style w:type="paragraph" w:styleId="12">
    <w:name w:val="Body Text First Indent 2"/>
    <w:basedOn w:val="4"/>
    <w:link w:val="20"/>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99"/>
  </w:style>
  <w:style w:type="paragraph" w:customStyle="1" w:styleId="18">
    <w:name w:val="Acetate"/>
    <w:basedOn w:val="1"/>
    <w:qFormat/>
    <w:uiPriority w:val="0"/>
    <w:pPr>
      <w:textAlignment w:val="baseline"/>
    </w:pPr>
    <w:rPr>
      <w:rFonts w:ascii="Calibri" w:hAnsi="Calibri" w:eastAsia="宋体"/>
      <w:sz w:val="18"/>
      <w:szCs w:val="18"/>
    </w:rPr>
  </w:style>
  <w:style w:type="character" w:customStyle="1" w:styleId="19">
    <w:name w:val="正文文本缩进 Char"/>
    <w:basedOn w:val="15"/>
    <w:link w:val="4"/>
    <w:semiHidden/>
    <w:qFormat/>
    <w:uiPriority w:val="99"/>
    <w:rPr>
      <w:rFonts w:ascii="仿宋_GB2312" w:hAnsi="Times New Roman" w:eastAsia="仿宋_GB2312" w:cs="Times New Roman"/>
      <w:sz w:val="32"/>
      <w:szCs w:val="32"/>
    </w:rPr>
  </w:style>
  <w:style w:type="character" w:customStyle="1" w:styleId="20">
    <w:name w:val="正文首行缩进 2 Char"/>
    <w:basedOn w:val="19"/>
    <w:link w:val="12"/>
    <w:qFormat/>
    <w:uiPriority w:val="0"/>
    <w:rPr>
      <w:rFonts w:ascii="仿宋_GB2312" w:hAnsi="Times New Roman" w:eastAsia="仿宋_GB2312" w:cs="Times New Roman"/>
      <w:sz w:val="32"/>
      <w:szCs w:val="32"/>
    </w:rPr>
  </w:style>
  <w:style w:type="character" w:customStyle="1" w:styleId="21">
    <w:name w:val="页眉 Char"/>
    <w:basedOn w:val="15"/>
    <w:link w:val="9"/>
    <w:qFormat/>
    <w:locked/>
    <w:uiPriority w:val="99"/>
    <w:rPr>
      <w:rFonts w:ascii="仿宋_GB2312" w:eastAsia="仿宋_GB2312"/>
      <w:sz w:val="18"/>
      <w:szCs w:val="18"/>
    </w:rPr>
  </w:style>
  <w:style w:type="character" w:customStyle="1" w:styleId="22">
    <w:name w:val="页脚 Char"/>
    <w:basedOn w:val="15"/>
    <w:link w:val="8"/>
    <w:qFormat/>
    <w:locked/>
    <w:uiPriority w:val="99"/>
    <w:rPr>
      <w:rFonts w:ascii="仿宋_GB2312" w:eastAsia="仿宋_GB2312"/>
      <w:sz w:val="18"/>
      <w:szCs w:val="18"/>
    </w:rPr>
  </w:style>
  <w:style w:type="character" w:customStyle="1" w:styleId="23">
    <w:name w:val="页脚 字符"/>
    <w:basedOn w:val="15"/>
    <w:semiHidden/>
    <w:qFormat/>
    <w:uiPriority w:val="99"/>
    <w:rPr>
      <w:rFonts w:ascii="仿宋_GB2312" w:hAnsi="Times New Roman" w:eastAsia="仿宋_GB2312" w:cs="Times New Roman"/>
      <w:sz w:val="18"/>
      <w:szCs w:val="18"/>
    </w:rPr>
  </w:style>
  <w:style w:type="character" w:customStyle="1" w:styleId="24">
    <w:name w:val="页眉 字符"/>
    <w:basedOn w:val="15"/>
    <w:semiHidden/>
    <w:qFormat/>
    <w:uiPriority w:val="99"/>
    <w:rPr>
      <w:rFonts w:ascii="仿宋_GB2312" w:hAnsi="Times New Roman" w:eastAsia="仿宋_GB2312" w:cs="Times New Roman"/>
      <w:sz w:val="18"/>
      <w:szCs w:val="18"/>
    </w:rPr>
  </w:style>
  <w:style w:type="paragraph" w:customStyle="1" w:styleId="25">
    <w:name w:val="_Style 16"/>
    <w:basedOn w:val="4"/>
    <w:next w:val="12"/>
    <w:qFormat/>
    <w:uiPriority w:val="0"/>
    <w:pPr>
      <w:ind w:firstLine="420" w:firstLineChars="200"/>
    </w:pPr>
  </w:style>
  <w:style w:type="character" w:customStyle="1" w:styleId="26">
    <w:name w:val="批注框文本 Char"/>
    <w:basedOn w:val="15"/>
    <w:link w:val="7"/>
    <w:qFormat/>
    <w:uiPriority w:val="0"/>
    <w:rPr>
      <w:rFonts w:ascii="Calibri" w:hAnsi="Calibri"/>
      <w:sz w:val="18"/>
      <w:szCs w:val="18"/>
    </w:rPr>
  </w:style>
  <w:style w:type="character" w:customStyle="1" w:styleId="27">
    <w:name w:val="批注框文本 字符1"/>
    <w:basedOn w:val="15"/>
    <w:semiHidden/>
    <w:qFormat/>
    <w:uiPriority w:val="99"/>
    <w:rPr>
      <w:rFonts w:ascii="仿宋_GB2312" w:hAnsi="Times New Roman" w:eastAsia="仿宋_GB2312" w:cs="Times New Roman"/>
      <w:sz w:val="18"/>
      <w:szCs w:val="18"/>
    </w:rPr>
  </w:style>
  <w:style w:type="character" w:customStyle="1" w:styleId="28">
    <w:name w:val="日期 Char"/>
    <w:basedOn w:val="15"/>
    <w:link w:val="6"/>
    <w:semiHidden/>
    <w:qFormat/>
    <w:uiPriority w:val="99"/>
    <w:rPr>
      <w:rFonts w:ascii="仿宋_GB2312" w:hAnsi="Times New Roman" w:eastAsia="仿宋_GB2312" w:cs="Times New Roman"/>
      <w:sz w:val="32"/>
      <w:szCs w:val="32"/>
    </w:rPr>
  </w:style>
  <w:style w:type="character" w:customStyle="1" w:styleId="29">
    <w:name w:val="NormalCharacter"/>
    <w:qFormat/>
    <w:uiPriority w:val="0"/>
    <w:rPr>
      <w:rFonts w:eastAsia="仿宋_GB2312"/>
      <w:kern w:val="2"/>
      <w:sz w:val="32"/>
      <w:szCs w:val="24"/>
      <w:lang w:val="en-US" w:eastAsia="zh-CN" w:bidi="ar-SA"/>
    </w:rPr>
  </w:style>
  <w:style w:type="paragraph" w:customStyle="1" w:styleId="30">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fontstyle01"/>
    <w:basedOn w:val="15"/>
    <w:qFormat/>
    <w:uiPriority w:val="0"/>
    <w:rPr>
      <w:rFonts w:ascii="仿宋_GB2312" w:hAnsi="仿宋_GB2312" w:eastAsia="仿宋_GB2312" w:cs="仿宋_GB2312"/>
      <w:color w:val="000000"/>
      <w:sz w:val="32"/>
      <w:szCs w:val="32"/>
    </w:rPr>
  </w:style>
  <w:style w:type="character" w:customStyle="1" w:styleId="32">
    <w:name w:val="font61"/>
    <w:basedOn w:val="15"/>
    <w:qFormat/>
    <w:uiPriority w:val="0"/>
    <w:rPr>
      <w:rFonts w:hint="default" w:ascii="Times New Roman" w:hAnsi="Times New Roman" w:cs="Times New Roman"/>
      <w:color w:val="000000"/>
      <w:sz w:val="18"/>
      <w:szCs w:val="18"/>
      <w:u w:val="none"/>
    </w:rPr>
  </w:style>
  <w:style w:type="character" w:customStyle="1" w:styleId="33">
    <w:name w:val="font51"/>
    <w:basedOn w:val="15"/>
    <w:qFormat/>
    <w:uiPriority w:val="0"/>
    <w:rPr>
      <w:rFonts w:hint="eastAsia" w:ascii="宋体" w:hAnsi="宋体" w:eastAsia="宋体" w:cs="宋体"/>
      <w:color w:val="000000"/>
      <w:sz w:val="18"/>
      <w:szCs w:val="18"/>
      <w:u w:val="none"/>
    </w:rPr>
  </w:style>
  <w:style w:type="character" w:customStyle="1" w:styleId="34">
    <w:name w:val="font01"/>
    <w:basedOn w:val="15"/>
    <w:qFormat/>
    <w:uiPriority w:val="0"/>
    <w:rPr>
      <w:rFonts w:hint="eastAsia" w:ascii="宋体" w:hAnsi="宋体" w:eastAsia="宋体" w:cs="宋体"/>
      <w:color w:val="000000"/>
      <w:sz w:val="22"/>
      <w:szCs w:val="22"/>
      <w:u w:val="none"/>
    </w:rPr>
  </w:style>
  <w:style w:type="character" w:customStyle="1" w:styleId="35">
    <w:name w:val="font11"/>
    <w:basedOn w:val="1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textRotate="1"/>
    <customShpInfo spid="_x0000_s3075" textRotate="1"/>
    <customShpInfo spid="_x0000_s3076" textRotate="1"/>
    <customShpInfo spid="_x0000_s3073" textRotate="1"/>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2081</Words>
  <Characters>11868</Characters>
  <Lines>98</Lines>
  <Paragraphs>27</Paragraphs>
  <TotalTime>2</TotalTime>
  <ScaleCrop>false</ScaleCrop>
  <LinksUpToDate>false</LinksUpToDate>
  <CharactersWithSpaces>13922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2020-08-07T09:35:00Z</dcterms:created>
  <dc:creator>pfy</dc:creator>
  <cp:lastModifiedBy>Grace</cp:lastModifiedBy>
  <cp:lastPrinted>2021-10-11T19:36:00Z</cp:lastPrinted>
  <dcterms:modified xsi:type="dcterms:W3CDTF">2022-01-07T03:23:49Z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23E162E6C9464BF7B35B30F2B2103B72</vt:lpwstr>
  </property>
</Properties>
</file>