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240" w:lineRule="exact"/>
        <w:jc w:val="center"/>
        <w:rPr>
          <w:rFonts w:ascii="方正大标宋简体" w:hAnsi="Times New Roman" w:eastAsia="方正大标宋简体" w:cs="Times New Roman"/>
          <w:color w:val="FF0000"/>
          <w:spacing w:val="80"/>
          <w:sz w:val="140"/>
          <w:szCs w:val="140"/>
        </w:rPr>
      </w:pPr>
    </w:p>
    <w:p>
      <w:pPr>
        <w:jc w:val="center"/>
        <w:rPr>
          <w:rFonts w:ascii="Times New Roman" w:hAnsi="Times New Roman" w:eastAsia="仿宋_GB2312" w:cs="Times New Roman"/>
          <w:w w:val="85"/>
          <w:sz w:val="32"/>
          <w:szCs w:val="32"/>
        </w:rPr>
      </w:pPr>
      <w:r>
        <w:rPr>
          <w:rFonts w:hint="default" w:ascii="Times New Roman" w:hAnsi="Times New Roman" w:eastAsia="方正大标宋简体" w:cs="Times New Roman"/>
          <w:color w:val="00FF00"/>
          <w:spacing w:val="80"/>
          <w:sz w:val="140"/>
          <w:szCs w:val="140"/>
        </w:rPr>
        <w:drawing>
          <wp:anchor distT="0" distB="0" distL="114300" distR="114300" simplePos="0" relativeHeight="251659264" behindDoc="1" locked="0" layoutInCell="1" allowOverlap="1">
            <wp:simplePos x="0" y="0"/>
            <wp:positionH relativeFrom="column">
              <wp:posOffset>4177030</wp:posOffset>
            </wp:positionH>
            <wp:positionV relativeFrom="paragraph">
              <wp:posOffset>1358900</wp:posOffset>
            </wp:positionV>
            <wp:extent cx="1417955" cy="975360"/>
            <wp:effectExtent l="0" t="0" r="10795" b="15240"/>
            <wp:wrapNone/>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7"/>
                    <a:stretch>
                      <a:fillRect/>
                    </a:stretch>
                  </pic:blipFill>
                  <pic:spPr>
                    <a:xfrm>
                      <a:off x="0" y="0"/>
                      <a:ext cx="1417955" cy="975360"/>
                    </a:xfrm>
                    <a:prstGeom prst="rect">
                      <a:avLst/>
                    </a:prstGeom>
                    <a:noFill/>
                    <a:ln>
                      <a:noFill/>
                    </a:ln>
                  </pic:spPr>
                </pic:pic>
              </a:graphicData>
            </a:graphic>
          </wp:anchor>
        </w:drawing>
      </w:r>
      <w:r>
        <w:rPr>
          <w:rFonts w:hint="eastAsia" w:ascii="方正大标宋简体" w:hAnsi="Times New Roman" w:eastAsia="方正大标宋简体" w:cs="方正大标宋简体"/>
          <w:color w:val="00FF00"/>
          <w:spacing w:val="80"/>
          <w:w w:val="85"/>
          <w:sz w:val="140"/>
          <w:szCs w:val="140"/>
        </w:rPr>
        <w:t>福建省发电</w:t>
      </w:r>
    </w:p>
    <w:p>
      <w:pPr>
        <w:spacing w:line="240" w:lineRule="exact"/>
        <w:rPr>
          <w:rFonts w:ascii="仿宋_GB2312" w:hAnsi="Times New Roman" w:eastAsia="仿宋_GB2312" w:cs="Times New Roman"/>
          <w:sz w:val="32"/>
          <w:szCs w:val="32"/>
        </w:rPr>
      </w:pPr>
    </w:p>
    <w:tbl>
      <w:tblPr>
        <w:tblStyle w:val="1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880"/>
        <w:gridCol w:w="992"/>
        <w:gridCol w:w="2126"/>
        <w:gridCol w:w="2126"/>
        <w:gridCol w:w="1136"/>
        <w:gridCol w:w="140"/>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560" w:type="dxa"/>
            <w:gridSpan w:val="2"/>
            <w:tcBorders>
              <w:top w:val="nil"/>
              <w:left w:val="nil"/>
              <w:bottom w:val="single" w:color="000000" w:sz="8" w:space="0"/>
              <w:right w:val="nil"/>
            </w:tcBorders>
            <w:vAlign w:val="center"/>
          </w:tcPr>
          <w:p>
            <w:pPr>
              <w:spacing w:line="360" w:lineRule="exact"/>
              <w:rPr>
                <w:rFonts w:ascii="宋体" w:hAnsi="Times New Roman" w:eastAsia="仿宋_GB2312" w:cs="Times New Roman"/>
                <w:b/>
                <w:bCs/>
                <w:sz w:val="32"/>
                <w:szCs w:val="32"/>
              </w:rPr>
            </w:pPr>
            <w:r>
              <w:rPr>
                <w:rFonts w:hint="eastAsia" w:ascii="宋体" w:hAnsi="Times New Roman" w:eastAsia="仿宋_GB2312" w:cs="仿宋_GB2312"/>
                <w:sz w:val="32"/>
                <w:szCs w:val="32"/>
              </w:rPr>
              <w:t>发电单位</w:t>
            </w:r>
          </w:p>
        </w:tc>
        <w:tc>
          <w:tcPr>
            <w:tcW w:w="3118" w:type="dxa"/>
            <w:gridSpan w:val="2"/>
            <w:tcBorders>
              <w:top w:val="nil"/>
              <w:left w:val="nil"/>
              <w:bottom w:val="single" w:color="000000" w:sz="8" w:space="0"/>
              <w:right w:val="nil"/>
            </w:tcBorders>
            <w:vAlign w:val="center"/>
          </w:tcPr>
          <w:p>
            <w:pPr>
              <w:rPr>
                <w:rFonts w:ascii="楷体_GB2312" w:hAnsi="Times New Roman" w:eastAsia="楷体_GB2312" w:cs="Times New Roman"/>
                <w:sz w:val="32"/>
                <w:szCs w:val="32"/>
              </w:rPr>
            </w:pPr>
            <w:r>
              <w:rPr>
                <w:rFonts w:hint="eastAsia" w:ascii="楷体_GB2312" w:hAnsi="Times New Roman" w:eastAsia="楷体_GB2312" w:cs="楷体_GB2312"/>
                <w:sz w:val="32"/>
                <w:szCs w:val="32"/>
              </w:rPr>
              <w:t>晋江市卫生健康局</w:t>
            </w:r>
          </w:p>
        </w:tc>
        <w:tc>
          <w:tcPr>
            <w:tcW w:w="3262" w:type="dxa"/>
            <w:gridSpan w:val="2"/>
            <w:tcBorders>
              <w:top w:val="nil"/>
              <w:left w:val="nil"/>
              <w:bottom w:val="single" w:color="000000" w:sz="8" w:space="0"/>
              <w:right w:val="nil"/>
            </w:tcBorders>
            <w:vAlign w:val="center"/>
          </w:tcPr>
          <w:p>
            <w:pPr>
              <w:spacing w:line="360" w:lineRule="exact"/>
              <w:ind w:left="-790" w:leftChars="-376" w:firstLine="566" w:firstLineChars="177"/>
              <w:jc w:val="center"/>
              <w:rPr>
                <w:rFonts w:ascii="楷体_GB2312" w:hAnsi="Times New Roman" w:eastAsia="楷体_GB2312" w:cs="Times New Roman"/>
                <w:sz w:val="32"/>
                <w:szCs w:val="32"/>
              </w:rPr>
            </w:pPr>
            <w:r>
              <w:rPr>
                <w:rFonts w:hint="eastAsia" w:ascii="仿宋_GB2312" w:hAnsi="Times New Roman" w:eastAsia="仿宋_GB2312" w:cs="仿宋_GB2312"/>
                <w:sz w:val="32"/>
                <w:szCs w:val="32"/>
              </w:rPr>
              <w:t>签发盖章</w:t>
            </w:r>
          </w:p>
        </w:tc>
        <w:tc>
          <w:tcPr>
            <w:tcW w:w="1275" w:type="dxa"/>
            <w:gridSpan w:val="3"/>
            <w:tcBorders>
              <w:top w:val="nil"/>
              <w:left w:val="nil"/>
              <w:bottom w:val="single" w:color="000000" w:sz="8" w:space="0"/>
              <w:right w:val="nil"/>
            </w:tcBorders>
            <w:vAlign w:val="center"/>
          </w:tcPr>
          <w:p>
            <w:pPr>
              <w:spacing w:line="360" w:lineRule="exac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680" w:type="dxa"/>
            <w:tcBorders>
              <w:top w:val="single" w:color="000000" w:sz="8" w:space="0"/>
              <w:left w:val="nil"/>
              <w:bottom w:val="single" w:color="auto" w:sz="8" w:space="0"/>
              <w:right w:val="nil"/>
            </w:tcBorders>
            <w:vAlign w:val="center"/>
          </w:tcPr>
          <w:p>
            <w:pPr>
              <w:rPr>
                <w:rFonts w:ascii="仿宋_GB2312" w:hAnsi="Times New Roman" w:eastAsia="仿宋_GB2312" w:cs="Times New Roman"/>
                <w:spacing w:val="-20"/>
                <w:sz w:val="32"/>
                <w:szCs w:val="32"/>
              </w:rPr>
            </w:pPr>
            <w:r>
              <w:rPr>
                <w:rFonts w:hint="eastAsia" w:ascii="仿宋_GB2312" w:hAnsi="Times New Roman" w:eastAsia="仿宋_GB2312" w:cs="仿宋_GB2312"/>
                <w:spacing w:val="-20"/>
                <w:sz w:val="32"/>
                <w:szCs w:val="32"/>
              </w:rPr>
              <w:t>等级</w:t>
            </w:r>
          </w:p>
        </w:tc>
        <w:tc>
          <w:tcPr>
            <w:tcW w:w="1872" w:type="dxa"/>
            <w:gridSpan w:val="2"/>
            <w:tcBorders>
              <w:top w:val="single" w:color="000000" w:sz="8" w:space="0"/>
              <w:left w:val="nil"/>
              <w:bottom w:val="single" w:color="auto" w:sz="8" w:space="0"/>
              <w:right w:val="nil"/>
            </w:tcBorders>
            <w:vAlign w:val="center"/>
          </w:tcPr>
          <w:p>
            <w:pPr>
              <w:jc w:val="center"/>
              <w:rPr>
                <w:rFonts w:ascii="黑体" w:hAnsi="Times New Roman" w:eastAsia="黑体" w:cs="Times New Roman"/>
                <w:spacing w:val="-20"/>
                <w:sz w:val="32"/>
                <w:szCs w:val="32"/>
              </w:rPr>
            </w:pPr>
            <w:r>
              <w:rPr>
                <w:rFonts w:hint="eastAsia" w:ascii="黑体" w:hAnsi="Times New Roman" w:eastAsia="黑体" w:cs="黑体"/>
                <w:spacing w:val="-20"/>
                <w:sz w:val="32"/>
                <w:szCs w:val="32"/>
              </w:rPr>
              <w:t>普通</w:t>
            </w:r>
            <w:r>
              <w:rPr>
                <w:rFonts w:hint="eastAsia" w:ascii="黑体" w:hAnsi="Times New Roman" w:eastAsia="黑体" w:cs="黑体"/>
                <w:spacing w:val="-20"/>
                <w:w w:val="90"/>
                <w:sz w:val="32"/>
                <w:szCs w:val="32"/>
              </w:rPr>
              <w:t>·</w:t>
            </w:r>
            <w:r>
              <w:rPr>
                <w:rFonts w:hint="eastAsia" w:ascii="仿宋_GB2312" w:hAnsi="Times New Roman" w:eastAsia="黑体" w:cs="黑体"/>
                <w:sz w:val="32"/>
                <w:szCs w:val="32"/>
              </w:rPr>
              <w:t>明电</w:t>
            </w:r>
          </w:p>
        </w:tc>
        <w:tc>
          <w:tcPr>
            <w:tcW w:w="4252" w:type="dxa"/>
            <w:gridSpan w:val="2"/>
            <w:tcBorders>
              <w:top w:val="single" w:color="000000" w:sz="8" w:space="0"/>
              <w:left w:val="nil"/>
              <w:bottom w:val="single" w:color="auto" w:sz="8" w:space="0"/>
              <w:right w:val="nil"/>
            </w:tcBorders>
            <w:vAlign w:val="center"/>
          </w:tcPr>
          <w:p>
            <w:pPr>
              <w:jc w:val="center"/>
              <w:rPr>
                <w:rFonts w:ascii="楷体_GB2312" w:hAnsi="Times New Roman" w:eastAsia="楷体_GB2312" w:cs="Times New Roman"/>
                <w:spacing w:val="-20"/>
                <w:sz w:val="32"/>
                <w:szCs w:val="32"/>
              </w:rPr>
            </w:pPr>
            <w:r>
              <w:rPr>
                <w:rFonts w:hint="eastAsia" w:ascii="楷体_GB2312" w:hAnsi="Times New Roman" w:eastAsia="楷体_GB2312" w:cs="楷体_GB2312"/>
                <w:sz w:val="32"/>
                <w:szCs w:val="32"/>
              </w:rPr>
              <w:t>晋卫健发明</w:t>
            </w:r>
            <w:r>
              <w:rPr>
                <w:rFonts w:hint="eastAsia" w:ascii="楷体_GB2312" w:hAnsi="Times New Roman" w:eastAsia="楷体_GB2312" w:cs="楷体_GB2312"/>
                <w:sz w:val="32"/>
                <w:szCs w:val="32"/>
                <w:lang w:eastAsia="zh-CN"/>
              </w:rPr>
              <w:t>电</w:t>
            </w:r>
            <w:r>
              <w:rPr>
                <w:rFonts w:hint="default" w:ascii="Times New Roman" w:hAnsi="Times New Roman" w:eastAsia="楷体_GB2312" w:cs="Times New Roman"/>
                <w:sz w:val="32"/>
                <w:szCs w:val="32"/>
              </w:rPr>
              <w:t>〔202</w:t>
            </w: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18</w:t>
            </w:r>
            <w:r>
              <w:rPr>
                <w:rFonts w:hint="eastAsia" w:ascii="楷体_GB2312" w:hAnsi="Times New Roman" w:eastAsia="楷体_GB2312" w:cs="楷体_GB2312"/>
                <w:sz w:val="32"/>
                <w:szCs w:val="32"/>
              </w:rPr>
              <w:t>号</w:t>
            </w:r>
          </w:p>
        </w:tc>
        <w:tc>
          <w:tcPr>
            <w:tcW w:w="1276" w:type="dxa"/>
            <w:gridSpan w:val="2"/>
            <w:tcBorders>
              <w:top w:val="single" w:color="000000" w:sz="8" w:space="0"/>
              <w:left w:val="nil"/>
              <w:bottom w:val="single" w:color="auto" w:sz="8" w:space="0"/>
              <w:right w:val="nil"/>
            </w:tcBorders>
            <w:vAlign w:val="center"/>
          </w:tcPr>
          <w:p>
            <w:pPr>
              <w:ind w:left="-556" w:leftChars="-265" w:firstLine="281" w:firstLineChars="88"/>
              <w:jc w:val="right"/>
              <w:rPr>
                <w:rFonts w:ascii="楷体_GB2312" w:hAnsi="Times New Roman" w:eastAsia="楷体_GB2312" w:cs="Times New Roman"/>
                <w:sz w:val="32"/>
                <w:szCs w:val="32"/>
              </w:rPr>
            </w:pPr>
            <w:r>
              <w:rPr>
                <w:rFonts w:hint="eastAsia" w:ascii="宋体" w:hAnsi="Times New Roman" w:eastAsia="仿宋_GB2312" w:cs="仿宋_GB2312"/>
                <w:sz w:val="32"/>
                <w:szCs w:val="32"/>
              </w:rPr>
              <w:t>晋机发</w:t>
            </w:r>
          </w:p>
        </w:tc>
        <w:tc>
          <w:tcPr>
            <w:tcW w:w="567" w:type="dxa"/>
            <w:tcBorders>
              <w:top w:val="single" w:color="000000" w:sz="8" w:space="0"/>
              <w:left w:val="nil"/>
              <w:bottom w:val="single" w:color="auto" w:sz="8" w:space="0"/>
              <w:right w:val="nil"/>
            </w:tcBorders>
            <w:vAlign w:val="center"/>
          </w:tcPr>
          <w:p>
            <w:pPr>
              <w:jc w:val="righ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c>
          <w:tcPr>
            <w:tcW w:w="568" w:type="dxa"/>
            <w:tcBorders>
              <w:top w:val="single" w:color="000000" w:sz="8" w:space="0"/>
              <w:left w:val="nil"/>
              <w:bottom w:val="single" w:color="auto" w:sz="8" w:space="0"/>
              <w:right w:val="nil"/>
            </w:tcBorders>
            <w:vAlign w:val="center"/>
          </w:tcPr>
          <w:p>
            <w:pPr>
              <w:ind w:left="-139" w:leftChars="-66"/>
              <w:jc w:val="center"/>
              <w:rPr>
                <w:rFonts w:ascii="楷体_GB2312" w:hAnsi="Times New Roman" w:eastAsia="楷体_GB2312" w:cs="Times New Roman"/>
                <w:sz w:val="32"/>
                <w:szCs w:val="32"/>
              </w:rPr>
            </w:pPr>
            <w:r>
              <w:rPr>
                <w:rFonts w:hint="eastAsia" w:ascii="楷体_GB2312" w:hAnsi="Times New Roman" w:eastAsia="楷体_GB2312" w:cs="楷体_GB2312"/>
                <w:sz w:val="32"/>
                <w:szCs w:val="32"/>
              </w:rPr>
              <w:t>号</w:t>
            </w:r>
          </w:p>
        </w:tc>
      </w:tr>
    </w:tbl>
    <w:p>
      <w:pPr>
        <w:spacing w:line="520" w:lineRule="exact"/>
        <w:jc w:val="center"/>
        <w:rPr>
          <w:rFonts w:ascii="仿宋_GB2312" w:hAnsi="Times New Roman" w:eastAsia="仿宋_GB2312" w:cs="Times New Roman"/>
          <w:sz w:val="32"/>
          <w:szCs w:val="32"/>
        </w:rPr>
      </w:pPr>
    </w:p>
    <w:p>
      <w:pPr>
        <w:pStyle w:val="18"/>
        <w:jc w:val="cente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pacing w:val="0"/>
          <w:sz w:val="44"/>
          <w:szCs w:val="44"/>
        </w:rPr>
      </w:pPr>
      <w:r>
        <w:rPr>
          <w:rFonts w:hint="default" w:ascii="Times New Roman" w:hAnsi="Times New Roman" w:eastAsia="方正小标宋简体" w:cs="Times New Roman"/>
          <w:b w:val="0"/>
          <w:bCs w:val="0"/>
          <w:spacing w:val="0"/>
          <w:sz w:val="44"/>
          <w:szCs w:val="44"/>
        </w:rPr>
        <w:t>晋江市卫生健康局关于</w:t>
      </w:r>
      <w:r>
        <w:rPr>
          <w:rFonts w:hint="default" w:ascii="Times New Roman" w:hAnsi="Times New Roman" w:eastAsia="方正小标宋简体" w:cs="Times New Roman"/>
          <w:b w:val="0"/>
          <w:bCs w:val="0"/>
          <w:spacing w:val="0"/>
          <w:sz w:val="44"/>
          <w:szCs w:val="44"/>
          <w:lang w:eastAsia="zh-CN"/>
        </w:rPr>
        <w:t>加强</w:t>
      </w:r>
      <w:r>
        <w:rPr>
          <w:rFonts w:hint="default" w:ascii="Times New Roman" w:hAnsi="Times New Roman" w:eastAsia="方正小标宋简体" w:cs="Times New Roman"/>
          <w:b w:val="0"/>
          <w:bCs w:val="0"/>
          <w:spacing w:val="0"/>
          <w:sz w:val="44"/>
          <w:szCs w:val="44"/>
        </w:rPr>
        <w:t>晋江市2022年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b w:val="0"/>
          <w:bCs w:val="0"/>
          <w:spacing w:val="0"/>
          <w:sz w:val="44"/>
          <w:szCs w:val="44"/>
        </w:rPr>
        <w:t>非免疫规划疫苗采购供应管理工作的通</w:t>
      </w:r>
      <w:r>
        <w:rPr>
          <w:rFonts w:hint="eastAsia" w:ascii="Times New Roman" w:hAnsi="Times New Roman" w:eastAsia="方正小标宋简体" w:cs="Times New Roman"/>
          <w:b w:val="0"/>
          <w:bCs w:val="0"/>
          <w:spacing w:val="0"/>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各医疗卫生单位：</w:t>
      </w:r>
    </w:p>
    <w:p>
      <w:pPr>
        <w:pStyle w:val="4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福建省卫生计生委关于进一步加强县级疾控中心第二类疫苗采购供应管理工作的通知》（闽卫疾控函〔2018〕784号）及《泉州市卫生计生委关于进一步加强县级疾控中心非免疫规划疫苗采购供应管理工作的通知》（泉卫计函〔2018〕312号）的要求，为规范落实非免疫规划疫苗采购供应管理工作，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sectPr>
          <w:headerReference r:id="rId3" w:type="default"/>
          <w:footerReference r:id="rId4" w:type="default"/>
          <w:pgSz w:w="11906" w:h="16838"/>
          <w:pgMar w:top="2098" w:right="1587" w:bottom="1985" w:left="1587" w:header="851" w:footer="992" w:gutter="0"/>
          <w:pgNumType w:fmt="numberInDash" w:start="2"/>
          <w:cols w:space="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市卫生健康局加强对</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非免疫规划疫苗采购供应的组织领导。指导市疾控中心规范开展工作，确保非免疫规划疫苗的及时采购、供应，满足全市预防接种的需求。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市疾控中心做好</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非免疫规划疫苗的采购供应与管理工作</w:t>
      </w:r>
      <w:r>
        <w:rPr>
          <w:rFonts w:hint="default" w:ascii="Times New Roman" w:hAnsi="Times New Roman" w:eastAsia="仿宋_GB2312" w:cs="Times New Roman"/>
          <w:sz w:val="32"/>
          <w:szCs w:val="32"/>
          <w:lang w:eastAsia="zh-CN"/>
        </w:rPr>
        <w:t>，成立疫苗采购管理小组，</w:t>
      </w:r>
      <w:r>
        <w:rPr>
          <w:rFonts w:hint="default" w:ascii="Times New Roman" w:hAnsi="Times New Roman" w:eastAsia="仿宋_GB2312" w:cs="Times New Roman"/>
          <w:sz w:val="32"/>
          <w:szCs w:val="32"/>
        </w:rPr>
        <w:t>负责制定疫苗采购工作规章制度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组织开展非免疫规划疫苗遴选工作，制定非免疫规划疫苗采购目录；收集汇总评估疫苗接种需求信息，组织疫苗的采购与配送；指导疫苗合理使用。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各预防接种单位严格落实市非免疫规划疫苗的采购供应与管理相关制度和要求，规范提供预防接种服务；收集上报疫苗接种需求信息。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成立晋江市疫苗采购工作领导小组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负责对非免疫规划疫苗采购供应的组织领导，规范开展工作，确保非免疫规划疫苗的及时采购、供应，满足全市预防接种的需求。具体组成如下：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组  长：</w:t>
      </w:r>
      <w:r>
        <w:rPr>
          <w:rFonts w:hint="default" w:ascii="Times New Roman" w:hAnsi="Times New Roman" w:eastAsia="仿宋_GB2312" w:cs="Times New Roman"/>
          <w:sz w:val="32"/>
          <w:szCs w:val="32"/>
          <w:highlight w:val="none"/>
          <w:lang w:eastAsia="zh-CN"/>
        </w:rPr>
        <w:t>许辉荣（市卫健局副局长）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副组长：王金象（市疾控中心主任）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成  员：</w:t>
      </w:r>
      <w:r>
        <w:rPr>
          <w:rFonts w:hint="default" w:ascii="Times New Roman" w:hAnsi="Times New Roman" w:eastAsia="仿宋_GB2312" w:cs="Times New Roman"/>
          <w:sz w:val="32"/>
          <w:szCs w:val="32"/>
          <w:highlight w:val="none"/>
          <w:lang w:eastAsia="zh-CN"/>
        </w:rPr>
        <w:t>苏远连（市卫健局疾病控制与妇幼保健科长）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吴清呼（市疾控中心副主任）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林</w:t>
      </w:r>
      <w:r>
        <w:rPr>
          <w:rFonts w:hint="eastAsia" w:ascii="Times New Roman" w:hAnsi="Times New Roman" w:eastAsia="仿宋_GB2312" w:cs="Times New Roman"/>
          <w:sz w:val="32"/>
          <w:szCs w:val="32"/>
          <w:highlight w:val="none"/>
          <w:lang w:eastAsia="zh-CN"/>
        </w:rPr>
        <w:t>清</w:t>
      </w:r>
      <w:bookmarkStart w:id="0" w:name="_GoBack"/>
      <w:bookmarkEnd w:id="0"/>
      <w:r>
        <w:rPr>
          <w:rFonts w:hint="default" w:ascii="Times New Roman" w:hAnsi="Times New Roman" w:eastAsia="仿宋_GB2312" w:cs="Times New Roman"/>
          <w:sz w:val="32"/>
          <w:szCs w:val="32"/>
          <w:highlight w:val="none"/>
          <w:lang w:eastAsia="zh-CN"/>
        </w:rPr>
        <w:t>爽（市疾控中心主任助理）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张德雄（市疾控中心主任助理）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2.成立疫苗采购管理小组。</w:t>
      </w:r>
      <w:r>
        <w:rPr>
          <w:rFonts w:hint="default" w:ascii="Times New Roman" w:hAnsi="Times New Roman" w:eastAsia="仿宋_GB2312" w:cs="Times New Roman"/>
          <w:sz w:val="32"/>
          <w:szCs w:val="32"/>
        </w:rPr>
        <w:t>建立晋江市疫苗采购委员库，作为疫苗采购管理小组备选成员，</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实际</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动态调整。具体组成如下：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疾控</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委员</w:t>
      </w:r>
      <w:r>
        <w:rPr>
          <w:rFonts w:hint="default" w:ascii="Times New Roman" w:hAnsi="Times New Roman" w:eastAsia="仿宋_GB2312" w:cs="Times New Roman"/>
          <w:sz w:val="32"/>
          <w:szCs w:val="32"/>
          <w:lang w:eastAsia="zh-CN"/>
        </w:rPr>
        <w:t>库</w:t>
      </w:r>
      <w:r>
        <w:rPr>
          <w:rFonts w:hint="default" w:ascii="Times New Roman" w:hAnsi="Times New Roman" w:eastAsia="仿宋_GB2312" w:cs="Times New Roman"/>
          <w:sz w:val="32"/>
          <w:szCs w:val="32"/>
        </w:rPr>
        <w:t>：由市疾控中心相关负责人、专业技术人员组成。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预防接种单位委员</w:t>
      </w:r>
      <w:r>
        <w:rPr>
          <w:rFonts w:hint="default" w:ascii="Times New Roman" w:hAnsi="Times New Roman" w:eastAsia="仿宋_GB2312" w:cs="Times New Roman"/>
          <w:sz w:val="32"/>
          <w:szCs w:val="32"/>
          <w:lang w:eastAsia="zh-CN"/>
        </w:rPr>
        <w:t>库</w:t>
      </w:r>
      <w:r>
        <w:rPr>
          <w:rFonts w:hint="default" w:ascii="Times New Roman" w:hAnsi="Times New Roman" w:eastAsia="仿宋_GB2312" w:cs="Times New Roman"/>
          <w:sz w:val="32"/>
          <w:szCs w:val="32"/>
        </w:rPr>
        <w:t>：共70名，由</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21家预防接种单位推举单位代表和具有医师等专业技术任职资格人员产生。名额如下：市妇幼保健院、市医院晋南分院、磁灶中心卫生院、金井中心卫生院、东石中心卫生院、陈埭中心卫生院、英林中心卫生院各4名，其余14家预防接种单位各3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犬伤预防处置单位委员</w:t>
      </w:r>
      <w:r>
        <w:rPr>
          <w:rFonts w:hint="default" w:ascii="Times New Roman" w:hAnsi="Times New Roman" w:eastAsia="仿宋_GB2312" w:cs="Times New Roman"/>
          <w:sz w:val="32"/>
          <w:szCs w:val="32"/>
          <w:lang w:eastAsia="zh-CN"/>
        </w:rPr>
        <w:t>库</w:t>
      </w:r>
      <w:r>
        <w:rPr>
          <w:rFonts w:hint="default" w:ascii="Times New Roman" w:hAnsi="Times New Roman" w:eastAsia="仿宋_GB2312" w:cs="Times New Roman"/>
          <w:sz w:val="32"/>
          <w:szCs w:val="32"/>
        </w:rPr>
        <w:t>：共39名，由</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13家犬伤预防处置单位推举单位代表和具有医师等专业技术任职资格并参与犬伤预防处置的人员产生。名额如下：每个犬伤预防处置单位各3名。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晋江市疫苗采购工作领导小组指导成立</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疫苗采购管理小组</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犬苗采购管理小组，</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负责制定非免疫规划疫苗</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人用狂犬病疫苗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破伤风疫苗遴选采购管理办法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疫苗采购管理小组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疫苗采购</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小组</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委员（</w:t>
      </w:r>
      <w:r>
        <w:rPr>
          <w:rFonts w:hint="default" w:ascii="Times New Roman" w:hAnsi="Times New Roman" w:eastAsia="仿宋_GB2312" w:cs="Times New Roman"/>
          <w:sz w:val="32"/>
          <w:szCs w:val="32"/>
        </w:rPr>
        <w:t>组长1名，组员1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组长由晋江市疫苗采购工作领导小组指定人员担任，组员</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lang w:val="en-US" w:eastAsia="zh-CN"/>
        </w:rPr>
        <w:t>2名市疾控中心委员和10名预防接种单位委员组成，分别</w:t>
      </w:r>
      <w:r>
        <w:rPr>
          <w:rFonts w:hint="default" w:ascii="Times New Roman" w:hAnsi="Times New Roman" w:eastAsia="仿宋_GB2312" w:cs="Times New Roman"/>
          <w:sz w:val="32"/>
          <w:szCs w:val="32"/>
        </w:rPr>
        <w:t>由市疾控中心委员</w:t>
      </w:r>
      <w:r>
        <w:rPr>
          <w:rFonts w:hint="default" w:ascii="Times New Roman" w:hAnsi="Times New Roman" w:eastAsia="仿宋_GB2312" w:cs="Times New Roman"/>
          <w:sz w:val="32"/>
          <w:szCs w:val="32"/>
          <w:lang w:eastAsia="zh-CN"/>
        </w:rPr>
        <w:t>库和</w:t>
      </w:r>
      <w:r>
        <w:rPr>
          <w:rFonts w:hint="default" w:ascii="Times New Roman" w:hAnsi="Times New Roman" w:eastAsia="仿宋_GB2312" w:cs="Times New Roman"/>
          <w:sz w:val="32"/>
          <w:szCs w:val="32"/>
        </w:rPr>
        <w:t>预防接种单位</w:t>
      </w:r>
      <w:r>
        <w:rPr>
          <w:rFonts w:hint="default" w:ascii="Times New Roman" w:hAnsi="Times New Roman" w:eastAsia="仿宋_GB2312" w:cs="Times New Roman"/>
          <w:sz w:val="32"/>
          <w:szCs w:val="32"/>
          <w:lang w:eastAsia="zh-CN"/>
        </w:rPr>
        <w:t>委员库</w:t>
      </w:r>
      <w:r>
        <w:rPr>
          <w:rFonts w:hint="default" w:ascii="Times New Roman" w:hAnsi="Times New Roman" w:eastAsia="仿宋_GB2312" w:cs="Times New Roman"/>
          <w:sz w:val="32"/>
          <w:szCs w:val="32"/>
        </w:rPr>
        <w:t>现场随机抽取产生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同一家预防接种单位成员不得超过1名。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犬苗采购管理小组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犬苗采购管理小组</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11名委员（</w:t>
      </w:r>
      <w:r>
        <w:rPr>
          <w:rFonts w:hint="default" w:ascii="Times New Roman" w:hAnsi="Times New Roman" w:eastAsia="仿宋_GB2312" w:cs="Times New Roman"/>
          <w:sz w:val="32"/>
          <w:szCs w:val="32"/>
        </w:rPr>
        <w:t>组长1名，组员</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组长由晋江市疫苗采购工作领导小组指定人员担任，组员</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lang w:val="en-US" w:eastAsia="zh-CN"/>
        </w:rPr>
        <w:t>2名市疾控中心委员和8名</w:t>
      </w:r>
      <w:r>
        <w:rPr>
          <w:rFonts w:hint="default" w:ascii="Times New Roman" w:hAnsi="Times New Roman" w:eastAsia="仿宋_GB2312" w:cs="Times New Roman"/>
          <w:sz w:val="32"/>
          <w:szCs w:val="32"/>
        </w:rPr>
        <w:t>犬伤预防处置单位委员</w:t>
      </w:r>
      <w:r>
        <w:rPr>
          <w:rFonts w:hint="default" w:ascii="Times New Roman" w:hAnsi="Times New Roman" w:eastAsia="仿宋_GB2312" w:cs="Times New Roman"/>
          <w:sz w:val="32"/>
          <w:szCs w:val="32"/>
          <w:lang w:val="en-US" w:eastAsia="zh-CN"/>
        </w:rPr>
        <w:t>组成，分别</w:t>
      </w:r>
      <w:r>
        <w:rPr>
          <w:rFonts w:hint="default" w:ascii="Times New Roman" w:hAnsi="Times New Roman" w:eastAsia="仿宋_GB2312" w:cs="Times New Roman"/>
          <w:sz w:val="32"/>
          <w:szCs w:val="32"/>
        </w:rPr>
        <w:t>由市疾控中心委员</w:t>
      </w:r>
      <w:r>
        <w:rPr>
          <w:rFonts w:hint="default" w:ascii="Times New Roman" w:hAnsi="Times New Roman" w:eastAsia="仿宋_GB2312" w:cs="Times New Roman"/>
          <w:sz w:val="32"/>
          <w:szCs w:val="32"/>
          <w:lang w:eastAsia="zh-CN"/>
        </w:rPr>
        <w:t>库和</w:t>
      </w:r>
      <w:r>
        <w:rPr>
          <w:rFonts w:hint="default" w:ascii="Times New Roman" w:hAnsi="Times New Roman" w:eastAsia="仿宋_GB2312" w:cs="Times New Roman"/>
          <w:sz w:val="32"/>
          <w:szCs w:val="32"/>
        </w:rPr>
        <w:t>犬伤预防处置单位委员</w:t>
      </w:r>
      <w:r>
        <w:rPr>
          <w:rFonts w:hint="default" w:ascii="Times New Roman" w:hAnsi="Times New Roman" w:eastAsia="仿宋_GB2312" w:cs="Times New Roman"/>
          <w:sz w:val="32"/>
          <w:szCs w:val="32"/>
          <w:lang w:eastAsia="zh-CN"/>
        </w:rPr>
        <w:t>库</w:t>
      </w:r>
      <w:r>
        <w:rPr>
          <w:rFonts w:hint="default" w:ascii="Times New Roman" w:hAnsi="Times New Roman" w:eastAsia="仿宋_GB2312" w:cs="Times New Roman"/>
          <w:sz w:val="32"/>
          <w:szCs w:val="32"/>
        </w:rPr>
        <w:t>现场随机抽取产生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同一家犬伤预防处置单位成员不得超过1名。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三、疫苗遴选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（一）遴选规则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年度疫苗采购目录由当年度疫苗采购管理小组召开遴选会议，遴选产生，报市卫生健康局备案，并通知各预防接种单位。遴选会议应留档备查。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遴选会议的参加人数应为当年度疫苗采购管理小组总人数的4/5以上，原则上为单数。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遴选会议原则上每年召开一次，如遇特殊情况，可增加遴选会议次数，保障疫苗供应，满足群众需求。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疫苗遴选应当在省公共资源交易平台公布的《福建省2022年非免疫规划疫苗成交品种目录》（闽疾控〔2022〕5号）中遴选。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疫苗采购目录应根据疫苗质量、规格、价格、生产企业规模、知名度、信誉、售后服务、往年使用情况等因素进行讨论和分析，充分发表意见，通过综合评分遴选或投票产生。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为保障疫苗供应和接种安全，原则上每个品种均需选定3家不同生产企业的产品。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（二）遴选程序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1.年度疫苗采购管理小组产生。年初由市疫苗采购工作领导小组召集疫苗采购委员库成员，现场随机抽取产生年度疫苗采购管理小组成员，报市卫生健康局备案。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2.年度非免疫规划疫苗遴选和采购管理办法制定。由当年度疫苗采购管理小组召开会议集体研究讨论制定。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3.年度疫苗采购目录产生。由当年度疫苗采购管理小组根据《年度非免疫规划疫苗遴选和采购管理办法》开展遴选，确定采购目录，现场公布。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4.年度疫苗采购目录的公示和生效。年度疫苗采购目录产生后，公示5天若无异议，按照目录上报疫苗需求和采购疫苗。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四、疫苗需求制定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疾控中心不定期向各预防接种单位收集每年非免疫规划疫苗需求、使用情况及AEFI等信息并汇总，提供给疫苗采购管理小组结合本地区传染病发生、流行情况和传染病防控需要，用来制订下一年度疫苗遴选方法和为遴选提供参考。每年上报泉州市疾控中心，泉州市疾控中心汇总后报省疾控中心，为省级制定非免疫规划疫苗集中采购目录提供参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五、疫苗采购配送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市疾控中心要根据遴选确定的非免疫规划疫苗采购目录，收集汇总各预防接种单位的月采购计划后，每月下旬（节假日顺延）向疫苗生产企业发出采购需求，签定采购供应合同。在成交后2个工作日内将成交结果上传省公共资源交易中心网站公布。在省公共资源电子交易平台软件未实现网上交易功能前，市疾控中心每月5日前将成交结果上报至泉州市疾控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市疾控中心要按照《中华人民共和国疫苗管理法》、《预防接种工作规范（2016年版）》和《疫苗储存和运输管理规范（2017年版）》等规定，做好索证、储存和配送工作，建立真实、完整的购进、储存、分发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疫苗需求及使用情况报送。各疫苗接种单位应每月定期向市疾控中心报送疫苗需求及使用情况，其中每月5号前上报上一月的接种情况表，每月20号前上报下一月需求量，每月报送的需求量仅当月有效。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疫苗配送。市疾控中心每月按各疫苗接种单位报送需求量统一配送两次（节假日除外）。如遇特殊情况，按规定申报批准后增加配送。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货款结算。各疫苗接种单位疫苗货款按月结算，每月10日前结算上上个月的疫苗款，例如2021年4月10日前结算2021年2月份的疫苗款。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rPr>
        <w:t>市疾控中心和各预防接种单位要建立健全非免疫规划疫苗采购供应与管理的内部制约和外部监督机制，完善疫苗管理工作规章制度，规范采购供应流程，严格执行集体决策机制。加强廉政教育，落实对重点环节、重点岗位、重点人员的风险防控措施。</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晋江市卫生健康局</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080" w:firstLineChars="19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2022年2月</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val="en-US" w:eastAsia="zh-CN"/>
        </w:rPr>
        <w:t>日</w:t>
      </w:r>
    </w:p>
    <w:sectPr>
      <w:footerReference r:id="rId5" w:type="default"/>
      <w:pgSz w:w="11906" w:h="16838"/>
      <w:pgMar w:top="2098" w:right="1587" w:bottom="1985" w:left="1587" w:header="851" w:footer="992" w:gutter="0"/>
      <w:pgNumType w:fmt="numberInDash" w:start="2"/>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altName w:val="微软雅黑"/>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1569" w:tblpY="14926"/>
      <w:tblOverlap w:val="never"/>
      <w:tblW w:w="89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8980" w:type="dxa"/>
          <w:tcBorders>
            <w:left w:val="nil"/>
            <w:bottom w:val="nil"/>
            <w:right w:val="nil"/>
          </w:tcBorders>
        </w:tcPr>
        <w:p>
          <w:pPr>
            <w:pStyle w:val="8"/>
            <w:spacing w:line="400" w:lineRule="exact"/>
            <w:ind w:left="-40" w:leftChars="-19" w:firstLine="2160" w:firstLineChars="900"/>
            <w:rPr>
              <w:sz w:val="24"/>
              <w:szCs w:val="16"/>
            </w:rPr>
          </w:pPr>
          <w:r>
            <w:rPr>
              <w:rFonts w:hint="eastAsia" w:ascii="Times New Roman" w:hAnsi="Times New Roman" w:eastAsia="仿宋_GB2312"/>
              <w:sz w:val="24"/>
              <w:szCs w:val="16"/>
            </w:rPr>
            <w:t xml:space="preserve">                     </w:t>
          </w:r>
          <w:r>
            <w:rPr>
              <w:rFonts w:ascii="Times New Roman" w:hAnsi="Times New Roman" w:eastAsia="仿宋_GB2312"/>
              <w:sz w:val="24"/>
              <w:szCs w:val="16"/>
            </w:rPr>
            <w:t xml:space="preserve"> </w:t>
          </w:r>
          <w:r>
            <w:rPr>
              <w:rFonts w:hint="eastAsia" w:ascii="Times New Roman" w:hAnsi="Times New Roman" w:eastAsia="仿宋_GB2312"/>
              <w:sz w:val="24"/>
              <w:szCs w:val="16"/>
            </w:rPr>
            <w:t xml:space="preserve">                   </w:t>
          </w:r>
          <w:r>
            <w:rPr>
              <w:rFonts w:hint="default" w:ascii="Times New Roman" w:hAnsi="Times New Roman" w:eastAsia="仿宋_GB2312" w:cs="Times New Roman"/>
              <w:sz w:val="24"/>
              <w:szCs w:val="16"/>
            </w:rPr>
            <w:t xml:space="preserve"> </w:t>
          </w:r>
          <w:r>
            <w:rPr>
              <w:rFonts w:hint="default" w:ascii="Times New Roman" w:hAnsi="Times New Roman" w:eastAsia="楷体_GB2312" w:cs="Times New Roman"/>
              <w:sz w:val="28"/>
              <w:szCs w:val="28"/>
            </w:rPr>
            <w:t xml:space="preserve">共  </w:t>
          </w:r>
          <w:r>
            <w:rPr>
              <w:rFonts w:hint="eastAsia" w:ascii="Times New Roman" w:hAnsi="Times New Roman" w:eastAsia="楷体_GB2312" w:cs="Times New Roman"/>
              <w:sz w:val="28"/>
              <w:szCs w:val="28"/>
              <w:lang w:val="en-US" w:eastAsia="zh-CN"/>
            </w:rPr>
            <w:t>7</w:t>
          </w:r>
          <w:r>
            <w:rPr>
              <w:rFonts w:hint="default" w:ascii="Times New Roman" w:hAnsi="Times New Roman" w:eastAsia="楷体_GB2312" w:cs="Times New Roman"/>
              <w:sz w:val="28"/>
              <w:szCs w:val="28"/>
            </w:rPr>
            <w:t xml:space="preserve">  页</w:t>
          </w:r>
        </w:p>
      </w:tc>
    </w:tr>
  </w:tbl>
  <w:p>
    <w:pPr>
      <w:pStyle w:val="8"/>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r>
      <w:rPr>
        <w:sz w:val="18"/>
      </w:rPr>
      <mc:AlternateContent>
        <mc:Choice Requires="wps">
          <w:drawing>
            <wp:anchor distT="0" distB="0" distL="114300" distR="114300" simplePos="0" relativeHeight="251677696" behindDoc="0" locked="0" layoutInCell="1" allowOverlap="1">
              <wp:simplePos x="0" y="0"/>
              <wp:positionH relativeFrom="margin">
                <wp:posOffset>2621280</wp:posOffset>
              </wp:positionH>
              <wp:positionV relativeFrom="paragraph">
                <wp:posOffset>-131445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6.4pt;margin-top:-10.35pt;height:144pt;width:144pt;mso-position-horizontal-relative:margin;mso-wrap-style:none;z-index:251677696;mso-width-relative:page;mso-height-relative:page;" filled="f" stroked="f" coordsize="21600,21600" o:gfxdata="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ujn3HNgAAAALAQAADwAAAAAAAAABACAAAAA4AAAAZHJzL2Rvd25yZXYueG1s&#10;UEsBAhQAFAAAAAgAh07iQDwWIvIbAgAAKQQAAA4AAAAAAAAAAQAgAAAAPQEAAGRycy9lMm9Eb2Mu&#10;eG1sUEsFBgAAAAAGAAYAWQEAAMo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doNotHyphenateCaps/>
  <w:drawingGridHorizontalSpacing w:val="116"/>
  <w:drawingGridVerticalSpacing w:val="161"/>
  <w:displayHorizontalDrawingGridEvery w:val="1"/>
  <w:displayVerticalDrawingGridEvery w:val="2"/>
  <w:noPunctuationKerning w:val="true"/>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21"/>
    <w:rsid w:val="00000FBF"/>
    <w:rsid w:val="00012C1F"/>
    <w:rsid w:val="0001668D"/>
    <w:rsid w:val="00024B52"/>
    <w:rsid w:val="000300EE"/>
    <w:rsid w:val="00034AA7"/>
    <w:rsid w:val="000364B4"/>
    <w:rsid w:val="000404A9"/>
    <w:rsid w:val="00041274"/>
    <w:rsid w:val="00045FB6"/>
    <w:rsid w:val="0005417B"/>
    <w:rsid w:val="00062044"/>
    <w:rsid w:val="0007189A"/>
    <w:rsid w:val="00074E27"/>
    <w:rsid w:val="0007753E"/>
    <w:rsid w:val="0008266B"/>
    <w:rsid w:val="00082F84"/>
    <w:rsid w:val="00086BC3"/>
    <w:rsid w:val="000A4AA2"/>
    <w:rsid w:val="000B39F2"/>
    <w:rsid w:val="000C00B7"/>
    <w:rsid w:val="000C4105"/>
    <w:rsid w:val="000E09D8"/>
    <w:rsid w:val="000E1908"/>
    <w:rsid w:val="000E43F6"/>
    <w:rsid w:val="000F71C8"/>
    <w:rsid w:val="00114FA7"/>
    <w:rsid w:val="00115E21"/>
    <w:rsid w:val="00150BE1"/>
    <w:rsid w:val="00153F52"/>
    <w:rsid w:val="00170A2C"/>
    <w:rsid w:val="00175C51"/>
    <w:rsid w:val="001812FF"/>
    <w:rsid w:val="0018445F"/>
    <w:rsid w:val="00192A4D"/>
    <w:rsid w:val="001A3E05"/>
    <w:rsid w:val="001C2143"/>
    <w:rsid w:val="001D1873"/>
    <w:rsid w:val="001D2253"/>
    <w:rsid w:val="001F1A97"/>
    <w:rsid w:val="00201F00"/>
    <w:rsid w:val="00216E61"/>
    <w:rsid w:val="002239FA"/>
    <w:rsid w:val="002240C3"/>
    <w:rsid w:val="00234288"/>
    <w:rsid w:val="00237260"/>
    <w:rsid w:val="00252BE1"/>
    <w:rsid w:val="00252E80"/>
    <w:rsid w:val="00260993"/>
    <w:rsid w:val="0026479A"/>
    <w:rsid w:val="00266B66"/>
    <w:rsid w:val="00270C40"/>
    <w:rsid w:val="00275A90"/>
    <w:rsid w:val="00276EE7"/>
    <w:rsid w:val="002977D2"/>
    <w:rsid w:val="002A2B5E"/>
    <w:rsid w:val="002A3240"/>
    <w:rsid w:val="002B32C3"/>
    <w:rsid w:val="002B6A82"/>
    <w:rsid w:val="002D0DF2"/>
    <w:rsid w:val="002E3307"/>
    <w:rsid w:val="002E3DD0"/>
    <w:rsid w:val="002E61A7"/>
    <w:rsid w:val="002F16E8"/>
    <w:rsid w:val="0030298C"/>
    <w:rsid w:val="00336EFA"/>
    <w:rsid w:val="00342B7C"/>
    <w:rsid w:val="003673E0"/>
    <w:rsid w:val="0037411A"/>
    <w:rsid w:val="00374909"/>
    <w:rsid w:val="0037785C"/>
    <w:rsid w:val="0038639E"/>
    <w:rsid w:val="003937C4"/>
    <w:rsid w:val="003B05CB"/>
    <w:rsid w:val="003C2EF8"/>
    <w:rsid w:val="003C7ECD"/>
    <w:rsid w:val="003F0A2B"/>
    <w:rsid w:val="003F3D12"/>
    <w:rsid w:val="00407B48"/>
    <w:rsid w:val="0041251A"/>
    <w:rsid w:val="00415BC4"/>
    <w:rsid w:val="00424982"/>
    <w:rsid w:val="004258A6"/>
    <w:rsid w:val="004264D7"/>
    <w:rsid w:val="0043480F"/>
    <w:rsid w:val="00452BD0"/>
    <w:rsid w:val="004542AE"/>
    <w:rsid w:val="00460605"/>
    <w:rsid w:val="00473DC2"/>
    <w:rsid w:val="00477DB8"/>
    <w:rsid w:val="00477F25"/>
    <w:rsid w:val="0048016D"/>
    <w:rsid w:val="00487816"/>
    <w:rsid w:val="004A4A3B"/>
    <w:rsid w:val="004B4C13"/>
    <w:rsid w:val="004B5C1B"/>
    <w:rsid w:val="004C526D"/>
    <w:rsid w:val="004D2889"/>
    <w:rsid w:val="004F16AC"/>
    <w:rsid w:val="004F55C4"/>
    <w:rsid w:val="00514910"/>
    <w:rsid w:val="00522F8C"/>
    <w:rsid w:val="00525356"/>
    <w:rsid w:val="005254BB"/>
    <w:rsid w:val="00525766"/>
    <w:rsid w:val="00542110"/>
    <w:rsid w:val="005475AD"/>
    <w:rsid w:val="00553AB4"/>
    <w:rsid w:val="00565798"/>
    <w:rsid w:val="005751AB"/>
    <w:rsid w:val="0057533A"/>
    <w:rsid w:val="00594C40"/>
    <w:rsid w:val="005A301B"/>
    <w:rsid w:val="005C0D6E"/>
    <w:rsid w:val="005D10EA"/>
    <w:rsid w:val="005D6451"/>
    <w:rsid w:val="005E2D03"/>
    <w:rsid w:val="005E7450"/>
    <w:rsid w:val="00601911"/>
    <w:rsid w:val="0061611D"/>
    <w:rsid w:val="00616AC2"/>
    <w:rsid w:val="00626C71"/>
    <w:rsid w:val="00636D00"/>
    <w:rsid w:val="00644234"/>
    <w:rsid w:val="00664086"/>
    <w:rsid w:val="006A1550"/>
    <w:rsid w:val="006B1259"/>
    <w:rsid w:val="006B36AF"/>
    <w:rsid w:val="006C6243"/>
    <w:rsid w:val="006C7EDD"/>
    <w:rsid w:val="006D0EEB"/>
    <w:rsid w:val="006D6995"/>
    <w:rsid w:val="006F2434"/>
    <w:rsid w:val="00701842"/>
    <w:rsid w:val="00702513"/>
    <w:rsid w:val="0070408B"/>
    <w:rsid w:val="0072399A"/>
    <w:rsid w:val="007277BF"/>
    <w:rsid w:val="007532AE"/>
    <w:rsid w:val="0075379C"/>
    <w:rsid w:val="00757C15"/>
    <w:rsid w:val="007612D6"/>
    <w:rsid w:val="00763956"/>
    <w:rsid w:val="00770A71"/>
    <w:rsid w:val="00783188"/>
    <w:rsid w:val="007C037D"/>
    <w:rsid w:val="007D04A4"/>
    <w:rsid w:val="007E2F40"/>
    <w:rsid w:val="007F2251"/>
    <w:rsid w:val="00806FD3"/>
    <w:rsid w:val="00812928"/>
    <w:rsid w:val="00814156"/>
    <w:rsid w:val="008212F1"/>
    <w:rsid w:val="00826DB6"/>
    <w:rsid w:val="008319C1"/>
    <w:rsid w:val="00846D5A"/>
    <w:rsid w:val="0086177B"/>
    <w:rsid w:val="008649D1"/>
    <w:rsid w:val="00866315"/>
    <w:rsid w:val="00877EA1"/>
    <w:rsid w:val="008928C9"/>
    <w:rsid w:val="008930A3"/>
    <w:rsid w:val="00896FDB"/>
    <w:rsid w:val="008A7A21"/>
    <w:rsid w:val="008C238F"/>
    <w:rsid w:val="008C6F1D"/>
    <w:rsid w:val="008D192D"/>
    <w:rsid w:val="008D27D4"/>
    <w:rsid w:val="008F47BE"/>
    <w:rsid w:val="008F50CF"/>
    <w:rsid w:val="008F78C8"/>
    <w:rsid w:val="00910FBE"/>
    <w:rsid w:val="00921EB2"/>
    <w:rsid w:val="00922D23"/>
    <w:rsid w:val="00923938"/>
    <w:rsid w:val="00931063"/>
    <w:rsid w:val="00933CF3"/>
    <w:rsid w:val="00934D4B"/>
    <w:rsid w:val="00940D48"/>
    <w:rsid w:val="009464BE"/>
    <w:rsid w:val="0097250C"/>
    <w:rsid w:val="0098344F"/>
    <w:rsid w:val="00986798"/>
    <w:rsid w:val="009A0157"/>
    <w:rsid w:val="009A021C"/>
    <w:rsid w:val="009B01F5"/>
    <w:rsid w:val="009B3066"/>
    <w:rsid w:val="009C3D49"/>
    <w:rsid w:val="009C7EFC"/>
    <w:rsid w:val="009E2DC9"/>
    <w:rsid w:val="009E61B0"/>
    <w:rsid w:val="00A0011B"/>
    <w:rsid w:val="00A02941"/>
    <w:rsid w:val="00A13F7E"/>
    <w:rsid w:val="00A15561"/>
    <w:rsid w:val="00A15B9F"/>
    <w:rsid w:val="00A17786"/>
    <w:rsid w:val="00A31B08"/>
    <w:rsid w:val="00A34AA6"/>
    <w:rsid w:val="00A54A35"/>
    <w:rsid w:val="00A54CE0"/>
    <w:rsid w:val="00A708E1"/>
    <w:rsid w:val="00A7735F"/>
    <w:rsid w:val="00A840E5"/>
    <w:rsid w:val="00A94FE5"/>
    <w:rsid w:val="00A95532"/>
    <w:rsid w:val="00AA6760"/>
    <w:rsid w:val="00AB17C4"/>
    <w:rsid w:val="00AB465F"/>
    <w:rsid w:val="00AC05C1"/>
    <w:rsid w:val="00AD00E8"/>
    <w:rsid w:val="00AE1097"/>
    <w:rsid w:val="00AE2E06"/>
    <w:rsid w:val="00B06795"/>
    <w:rsid w:val="00B11DBA"/>
    <w:rsid w:val="00B12AC8"/>
    <w:rsid w:val="00B15BE3"/>
    <w:rsid w:val="00B26350"/>
    <w:rsid w:val="00B312CD"/>
    <w:rsid w:val="00B353D3"/>
    <w:rsid w:val="00B4354C"/>
    <w:rsid w:val="00B653DD"/>
    <w:rsid w:val="00B667E2"/>
    <w:rsid w:val="00B677D7"/>
    <w:rsid w:val="00B95737"/>
    <w:rsid w:val="00BA79FA"/>
    <w:rsid w:val="00BB5CB4"/>
    <w:rsid w:val="00BC2143"/>
    <w:rsid w:val="00BC35A5"/>
    <w:rsid w:val="00BC519A"/>
    <w:rsid w:val="00BC54BE"/>
    <w:rsid w:val="00BC61CD"/>
    <w:rsid w:val="00BE1CD4"/>
    <w:rsid w:val="00BE4B85"/>
    <w:rsid w:val="00BF1421"/>
    <w:rsid w:val="00BF142F"/>
    <w:rsid w:val="00BF3BC6"/>
    <w:rsid w:val="00C01321"/>
    <w:rsid w:val="00C20A6D"/>
    <w:rsid w:val="00C274E0"/>
    <w:rsid w:val="00C33655"/>
    <w:rsid w:val="00C36840"/>
    <w:rsid w:val="00C376D7"/>
    <w:rsid w:val="00C45C47"/>
    <w:rsid w:val="00C46039"/>
    <w:rsid w:val="00C507BB"/>
    <w:rsid w:val="00C6032B"/>
    <w:rsid w:val="00C60C5A"/>
    <w:rsid w:val="00C63437"/>
    <w:rsid w:val="00C716DB"/>
    <w:rsid w:val="00C84476"/>
    <w:rsid w:val="00C86B4E"/>
    <w:rsid w:val="00C9268A"/>
    <w:rsid w:val="00CA1F3D"/>
    <w:rsid w:val="00CB7C35"/>
    <w:rsid w:val="00CC1F9E"/>
    <w:rsid w:val="00CC5978"/>
    <w:rsid w:val="00CC61EF"/>
    <w:rsid w:val="00CC6711"/>
    <w:rsid w:val="00CE3839"/>
    <w:rsid w:val="00CE5EC0"/>
    <w:rsid w:val="00CE6849"/>
    <w:rsid w:val="00D07A0D"/>
    <w:rsid w:val="00D1023B"/>
    <w:rsid w:val="00D11AA9"/>
    <w:rsid w:val="00D13819"/>
    <w:rsid w:val="00D16DCE"/>
    <w:rsid w:val="00D227F0"/>
    <w:rsid w:val="00D27875"/>
    <w:rsid w:val="00D42385"/>
    <w:rsid w:val="00D43E32"/>
    <w:rsid w:val="00D50C95"/>
    <w:rsid w:val="00D526C8"/>
    <w:rsid w:val="00D641A5"/>
    <w:rsid w:val="00D75E57"/>
    <w:rsid w:val="00D828EC"/>
    <w:rsid w:val="00D90F1D"/>
    <w:rsid w:val="00D919F1"/>
    <w:rsid w:val="00DB53F1"/>
    <w:rsid w:val="00DC3CB9"/>
    <w:rsid w:val="00DC48C5"/>
    <w:rsid w:val="00DD1225"/>
    <w:rsid w:val="00DE3703"/>
    <w:rsid w:val="00DF0E0D"/>
    <w:rsid w:val="00E00780"/>
    <w:rsid w:val="00E06D62"/>
    <w:rsid w:val="00E07FA7"/>
    <w:rsid w:val="00E23345"/>
    <w:rsid w:val="00E23EB8"/>
    <w:rsid w:val="00E37936"/>
    <w:rsid w:val="00E40342"/>
    <w:rsid w:val="00E472E1"/>
    <w:rsid w:val="00E56C80"/>
    <w:rsid w:val="00E63D29"/>
    <w:rsid w:val="00E65B7C"/>
    <w:rsid w:val="00E67C84"/>
    <w:rsid w:val="00E7381C"/>
    <w:rsid w:val="00E920BD"/>
    <w:rsid w:val="00EA000F"/>
    <w:rsid w:val="00EA6E97"/>
    <w:rsid w:val="00EC0E6E"/>
    <w:rsid w:val="00EC68E1"/>
    <w:rsid w:val="00EC6B60"/>
    <w:rsid w:val="00ED66F1"/>
    <w:rsid w:val="00EF49D3"/>
    <w:rsid w:val="00EF6027"/>
    <w:rsid w:val="00EF7B54"/>
    <w:rsid w:val="00F01F0D"/>
    <w:rsid w:val="00F0364C"/>
    <w:rsid w:val="00F0685A"/>
    <w:rsid w:val="00F07E66"/>
    <w:rsid w:val="00F15F90"/>
    <w:rsid w:val="00F31542"/>
    <w:rsid w:val="00F32C08"/>
    <w:rsid w:val="00F447B6"/>
    <w:rsid w:val="00F45801"/>
    <w:rsid w:val="00F53F38"/>
    <w:rsid w:val="00F55D41"/>
    <w:rsid w:val="00F66BC6"/>
    <w:rsid w:val="00F73FA4"/>
    <w:rsid w:val="00F76700"/>
    <w:rsid w:val="00F81989"/>
    <w:rsid w:val="00F83710"/>
    <w:rsid w:val="00F91A1C"/>
    <w:rsid w:val="00F91D7E"/>
    <w:rsid w:val="00FA0A80"/>
    <w:rsid w:val="00FA2A4F"/>
    <w:rsid w:val="00FA57E1"/>
    <w:rsid w:val="00FD35DC"/>
    <w:rsid w:val="00FE15DD"/>
    <w:rsid w:val="00FF5ACA"/>
    <w:rsid w:val="00FF7138"/>
    <w:rsid w:val="01496C9E"/>
    <w:rsid w:val="02FF3841"/>
    <w:rsid w:val="03165668"/>
    <w:rsid w:val="03553CE0"/>
    <w:rsid w:val="04D347AE"/>
    <w:rsid w:val="060E32DC"/>
    <w:rsid w:val="08BE752A"/>
    <w:rsid w:val="0BFF003B"/>
    <w:rsid w:val="1516118C"/>
    <w:rsid w:val="164D5DD1"/>
    <w:rsid w:val="184C3483"/>
    <w:rsid w:val="18BE00A7"/>
    <w:rsid w:val="1DF13C73"/>
    <w:rsid w:val="20DC7652"/>
    <w:rsid w:val="269B282A"/>
    <w:rsid w:val="28A53084"/>
    <w:rsid w:val="28F93395"/>
    <w:rsid w:val="29C362D6"/>
    <w:rsid w:val="2B070228"/>
    <w:rsid w:val="2BFF63F0"/>
    <w:rsid w:val="303A0AD5"/>
    <w:rsid w:val="31194C64"/>
    <w:rsid w:val="316660BD"/>
    <w:rsid w:val="34CF3E7A"/>
    <w:rsid w:val="36F50C89"/>
    <w:rsid w:val="370B5838"/>
    <w:rsid w:val="37CD55EE"/>
    <w:rsid w:val="37EA42E8"/>
    <w:rsid w:val="37F9FF5D"/>
    <w:rsid w:val="3B4A6A9A"/>
    <w:rsid w:val="3B7BF6F5"/>
    <w:rsid w:val="3E542898"/>
    <w:rsid w:val="46342CDD"/>
    <w:rsid w:val="47372CDC"/>
    <w:rsid w:val="49C01AB7"/>
    <w:rsid w:val="4A7A1971"/>
    <w:rsid w:val="4EC978CF"/>
    <w:rsid w:val="4FF57D37"/>
    <w:rsid w:val="501B2CC1"/>
    <w:rsid w:val="50CF4584"/>
    <w:rsid w:val="53286B39"/>
    <w:rsid w:val="53CC4141"/>
    <w:rsid w:val="53EC1A5F"/>
    <w:rsid w:val="550352A6"/>
    <w:rsid w:val="55AB7420"/>
    <w:rsid w:val="5678137F"/>
    <w:rsid w:val="56E95FF2"/>
    <w:rsid w:val="594932DF"/>
    <w:rsid w:val="59626AD5"/>
    <w:rsid w:val="59EC0F23"/>
    <w:rsid w:val="5ADF6EAA"/>
    <w:rsid w:val="5BA732CF"/>
    <w:rsid w:val="5FDFD862"/>
    <w:rsid w:val="619E199A"/>
    <w:rsid w:val="62E1047D"/>
    <w:rsid w:val="67DF5CA1"/>
    <w:rsid w:val="688D33E2"/>
    <w:rsid w:val="6AFFE2FA"/>
    <w:rsid w:val="6B7F7240"/>
    <w:rsid w:val="6BFF1846"/>
    <w:rsid w:val="6D1D5010"/>
    <w:rsid w:val="6DCFCC30"/>
    <w:rsid w:val="6EFE9E95"/>
    <w:rsid w:val="6FBB8A8E"/>
    <w:rsid w:val="71CF3DE6"/>
    <w:rsid w:val="71E23D99"/>
    <w:rsid w:val="71FC4C2A"/>
    <w:rsid w:val="727A6BCA"/>
    <w:rsid w:val="73EF26C0"/>
    <w:rsid w:val="73FE12EC"/>
    <w:rsid w:val="74362606"/>
    <w:rsid w:val="74FFB56A"/>
    <w:rsid w:val="77DBFF38"/>
    <w:rsid w:val="78B43185"/>
    <w:rsid w:val="797B4C23"/>
    <w:rsid w:val="7BD5ABA6"/>
    <w:rsid w:val="7CAA2C4F"/>
    <w:rsid w:val="7D7F025B"/>
    <w:rsid w:val="7EA45F4A"/>
    <w:rsid w:val="7FB46217"/>
    <w:rsid w:val="7FEDC29D"/>
    <w:rsid w:val="7FFF4332"/>
    <w:rsid w:val="9DDF69F9"/>
    <w:rsid w:val="9DEEE386"/>
    <w:rsid w:val="A75AB43C"/>
    <w:rsid w:val="B3EFC25D"/>
    <w:rsid w:val="BBDF7C03"/>
    <w:rsid w:val="BF962313"/>
    <w:rsid w:val="BFE7237D"/>
    <w:rsid w:val="D1BF153A"/>
    <w:rsid w:val="DBB70C42"/>
    <w:rsid w:val="E4175CB4"/>
    <w:rsid w:val="EBBFF883"/>
    <w:rsid w:val="EFE86D37"/>
    <w:rsid w:val="F37B1CB1"/>
    <w:rsid w:val="F3DD7A92"/>
    <w:rsid w:val="FBF96E3D"/>
    <w:rsid w:val="FC8F3733"/>
    <w:rsid w:val="FE6F0278"/>
    <w:rsid w:val="FE7F8800"/>
    <w:rsid w:val="FFBDB85C"/>
    <w:rsid w:val="FFFD21F7"/>
    <w:rsid w:val="FFFF8B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locked/>
    <w:uiPriority w:val="1"/>
    <w:pPr>
      <w:spacing w:before="1"/>
      <w:ind w:left="114"/>
      <w:outlineLvl w:val="1"/>
    </w:pPr>
    <w:rPr>
      <w:rFonts w:ascii="方正小标宋_GBK" w:hAnsi="方正小标宋_GBK" w:eastAsia="方正小标宋_GBK" w:cs="方正小标宋_GBK"/>
      <w:sz w:val="44"/>
      <w:szCs w:val="44"/>
      <w:lang w:val="zh-CN" w:eastAsia="zh-CN" w:bidi="zh-CN"/>
    </w:rPr>
  </w:style>
  <w:style w:type="paragraph" w:styleId="5">
    <w:name w:val="heading 2"/>
    <w:basedOn w:val="1"/>
    <w:next w:val="1"/>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semiHidden/>
    <w:qFormat/>
    <w:uiPriority w:val="0"/>
    <w:rPr>
      <w:sz w:val="18"/>
      <w:szCs w:val="18"/>
    </w:rPr>
  </w:style>
  <w:style w:type="paragraph" w:styleId="3">
    <w:name w:val="index 5"/>
    <w:basedOn w:val="1"/>
    <w:next w:val="1"/>
    <w:qFormat/>
    <w:uiPriority w:val="0"/>
    <w:pPr>
      <w:jc w:val="left"/>
    </w:pPr>
    <w:rPr>
      <w:rFonts w:ascii="仿宋" w:hAnsi="仿宋" w:eastAsia="仿宋"/>
      <w:sz w:val="24"/>
      <w:szCs w:val="24"/>
    </w:rPr>
  </w:style>
  <w:style w:type="paragraph" w:styleId="6">
    <w:name w:val="Body Text"/>
    <w:basedOn w:val="1"/>
    <w:qFormat/>
    <w:uiPriority w:val="0"/>
    <w:pPr>
      <w:spacing w:after="120"/>
    </w:pPr>
  </w:style>
  <w:style w:type="paragraph" w:styleId="7">
    <w:name w:val="Date"/>
    <w:basedOn w:val="1"/>
    <w:next w:val="1"/>
    <w:link w:val="19"/>
    <w:qFormat/>
    <w:uiPriority w:val="99"/>
    <w:pPr>
      <w:ind w:left="100" w:leftChars="2500"/>
    </w:p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locked/>
    <w:uiPriority w:val="0"/>
    <w:pPr>
      <w:spacing w:before="240" w:after="60" w:line="240" w:lineRule="exact"/>
      <w:ind w:firstLine="200" w:firstLineChars="200"/>
      <w:jc w:val="center"/>
      <w:outlineLvl w:val="0"/>
    </w:pPr>
    <w:rPr>
      <w:rFonts w:asciiTheme="majorHAnsi" w:hAnsiTheme="majorHAnsi" w:cstheme="majorBidi"/>
      <w:b/>
      <w:bCs/>
      <w:sz w:val="32"/>
      <w:szCs w:val="32"/>
    </w:rPr>
  </w:style>
  <w:style w:type="paragraph" w:styleId="11">
    <w:name w:val="Body Text First Indent"/>
    <w:basedOn w:val="6"/>
    <w:qFormat/>
    <w:uiPriority w:val="0"/>
    <w:pPr>
      <w:ind w:firstLine="420" w:firstLineChars="100"/>
    </w:pPr>
    <w:rPr>
      <w:sz w:val="20"/>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paragraph" w:customStyle="1" w:styleId="18">
    <w:name w:val="BodyText"/>
    <w:basedOn w:val="1"/>
    <w:qFormat/>
    <w:uiPriority w:val="0"/>
    <w:pPr>
      <w:ind w:left="111"/>
      <w:textAlignment w:val="baseline"/>
    </w:pPr>
    <w:rPr>
      <w:rFonts w:ascii="仿宋_GB2312" w:hAnsi="仿宋_GB2312" w:eastAsia="仿宋_GB2312"/>
      <w:sz w:val="33"/>
      <w:szCs w:val="33"/>
    </w:rPr>
  </w:style>
  <w:style w:type="character" w:customStyle="1" w:styleId="19">
    <w:name w:val="日期 Char"/>
    <w:basedOn w:val="14"/>
    <w:link w:val="7"/>
    <w:semiHidden/>
    <w:qFormat/>
    <w:locked/>
    <w:uiPriority w:val="99"/>
    <w:rPr>
      <w:rFonts w:cs="Times New Roman"/>
      <w:sz w:val="21"/>
      <w:szCs w:val="21"/>
    </w:rPr>
  </w:style>
  <w:style w:type="character" w:customStyle="1" w:styleId="20">
    <w:name w:val="页脚 Char"/>
    <w:basedOn w:val="14"/>
    <w:link w:val="8"/>
    <w:qFormat/>
    <w:locked/>
    <w:uiPriority w:val="99"/>
    <w:rPr>
      <w:rFonts w:cs="Times New Roman"/>
      <w:sz w:val="18"/>
      <w:szCs w:val="18"/>
    </w:rPr>
  </w:style>
  <w:style w:type="character" w:customStyle="1" w:styleId="21">
    <w:name w:val="页眉 Char"/>
    <w:basedOn w:val="14"/>
    <w:link w:val="9"/>
    <w:qFormat/>
    <w:locked/>
    <w:uiPriority w:val="99"/>
    <w:rPr>
      <w:rFonts w:cs="Times New Roman"/>
      <w:sz w:val="18"/>
      <w:szCs w:val="18"/>
    </w:rPr>
  </w:style>
  <w:style w:type="paragraph" w:customStyle="1" w:styleId="22">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3">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宋体" w:eastAsia="仿宋" w:cs="仿宋"/>
      <w:kern w:val="0"/>
      <w:sz w:val="24"/>
      <w:szCs w:val="24"/>
    </w:rPr>
  </w:style>
  <w:style w:type="paragraph" w:customStyle="1" w:styleId="2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宋体" w:eastAsia="仿宋" w:cs="仿宋"/>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仿宋" w:hAnsi="宋体" w:eastAsia="仿宋" w:cs="仿宋"/>
      <w:kern w:val="0"/>
      <w:sz w:val="24"/>
      <w:szCs w:val="24"/>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宋体" w:eastAsia="仿宋" w:cs="仿宋"/>
      <w:kern w:val="0"/>
      <w:sz w:val="24"/>
      <w:szCs w:val="24"/>
    </w:rPr>
  </w:style>
  <w:style w:type="paragraph" w:customStyle="1" w:styleId="27">
    <w:name w:val="xl69"/>
    <w:basedOn w:val="1"/>
    <w:qFormat/>
    <w:uiPriority w:val="99"/>
    <w:pPr>
      <w:widowControl/>
      <w:pBdr>
        <w:bottom w:val="single" w:color="auto" w:sz="4" w:space="0"/>
      </w:pBdr>
      <w:shd w:val="clear" w:color="auto" w:fill="FFFFFF"/>
      <w:spacing w:before="100" w:beforeAutospacing="1" w:after="100" w:afterAutospacing="1"/>
      <w:jc w:val="center"/>
    </w:pPr>
    <w:rPr>
      <w:rFonts w:ascii="宋体" w:hAnsi="宋体" w:cs="宋体"/>
      <w:kern w:val="0"/>
      <w:sz w:val="40"/>
      <w:szCs w:val="40"/>
    </w:rPr>
  </w:style>
  <w:style w:type="paragraph" w:customStyle="1" w:styleId="28">
    <w:name w:val="xl70"/>
    <w:basedOn w:val="1"/>
    <w:qFormat/>
    <w:uiPriority w:val="99"/>
    <w:pPr>
      <w:widowControl/>
      <w:spacing w:before="100" w:beforeAutospacing="1" w:after="100" w:afterAutospacing="1"/>
      <w:jc w:val="left"/>
    </w:pPr>
    <w:rPr>
      <w:rFonts w:ascii="黑体" w:hAnsi="宋体" w:eastAsia="黑体" w:cs="黑体"/>
      <w:kern w:val="0"/>
      <w:sz w:val="32"/>
      <w:szCs w:val="32"/>
    </w:rPr>
  </w:style>
  <w:style w:type="character" w:customStyle="1" w:styleId="29">
    <w:name w:val="font11"/>
    <w:basedOn w:val="14"/>
    <w:qFormat/>
    <w:uiPriority w:val="0"/>
    <w:rPr>
      <w:rFonts w:hint="eastAsia" w:ascii="仿宋_GB2312" w:eastAsia="仿宋_GB2312" w:cs="仿宋_GB2312"/>
      <w:color w:val="000000"/>
      <w:sz w:val="20"/>
      <w:szCs w:val="20"/>
      <w:u w:val="none"/>
    </w:rPr>
  </w:style>
  <w:style w:type="character" w:customStyle="1" w:styleId="30">
    <w:name w:val="font61"/>
    <w:basedOn w:val="14"/>
    <w:qFormat/>
    <w:uiPriority w:val="0"/>
    <w:rPr>
      <w:rFonts w:ascii="Microsoft YaHei UI" w:hAnsi="Microsoft YaHei UI" w:eastAsia="Microsoft YaHei UI" w:cs="Microsoft YaHei UI"/>
      <w:color w:val="000000"/>
      <w:sz w:val="20"/>
      <w:szCs w:val="20"/>
      <w:u w:val="none"/>
    </w:rPr>
  </w:style>
  <w:style w:type="character" w:customStyle="1" w:styleId="31">
    <w:name w:val="font01"/>
    <w:basedOn w:val="14"/>
    <w:qFormat/>
    <w:uiPriority w:val="0"/>
    <w:rPr>
      <w:rFonts w:ascii="Microsoft YaHei UI" w:hAnsi="Microsoft YaHei UI" w:eastAsia="Microsoft YaHei UI" w:cs="Microsoft YaHei UI"/>
      <w:color w:val="000000"/>
      <w:sz w:val="20"/>
      <w:szCs w:val="20"/>
      <w:u w:val="none"/>
    </w:rPr>
  </w:style>
  <w:style w:type="character" w:customStyle="1" w:styleId="32">
    <w:name w:val="NormalCharacter"/>
    <w:qFormat/>
    <w:uiPriority w:val="0"/>
  </w:style>
  <w:style w:type="paragraph" w:styleId="33">
    <w:name w:val="List Paragraph"/>
    <w:basedOn w:val="1"/>
    <w:qFormat/>
    <w:uiPriority w:val="34"/>
    <w:pPr>
      <w:ind w:firstLine="420" w:firstLineChars="200"/>
    </w:pPr>
  </w:style>
  <w:style w:type="paragraph" w:customStyle="1" w:styleId="34">
    <w:name w:val="委机关 主标题"/>
    <w:basedOn w:val="1"/>
    <w:qFormat/>
    <w:uiPriority w:val="0"/>
    <w:pPr>
      <w:spacing w:line="590" w:lineRule="exact"/>
      <w:jc w:val="center"/>
    </w:pPr>
    <w:rPr>
      <w:rFonts w:ascii="Times New Roman" w:eastAsia="方正小标宋简体"/>
      <w:color w:val="000000"/>
      <w:sz w:val="44"/>
      <w:szCs w:val="20"/>
    </w:rPr>
  </w:style>
  <w:style w:type="paragraph" w:customStyle="1" w:styleId="35">
    <w:name w:val="正文首行缩进 21"/>
    <w:basedOn w:val="36"/>
    <w:qFormat/>
    <w:uiPriority w:val="0"/>
    <w:pPr>
      <w:ind w:firstLine="200" w:firstLineChars="200"/>
    </w:pPr>
    <w:rPr>
      <w:sz w:val="21"/>
    </w:rPr>
  </w:style>
  <w:style w:type="paragraph" w:customStyle="1" w:styleId="36">
    <w:name w:val="正文文本缩进1"/>
    <w:basedOn w:val="1"/>
    <w:qFormat/>
    <w:uiPriority w:val="0"/>
    <w:pPr>
      <w:spacing w:after="120"/>
      <w:ind w:left="200" w:leftChars="200"/>
    </w:pPr>
    <w:rPr>
      <w:sz w:val="24"/>
    </w:rPr>
  </w:style>
  <w:style w:type="character" w:customStyle="1" w:styleId="37">
    <w:name w:val="font51"/>
    <w:basedOn w:val="14"/>
    <w:qFormat/>
    <w:uiPriority w:val="0"/>
    <w:rPr>
      <w:rFonts w:hint="eastAsia" w:ascii="仿宋_GB2312" w:eastAsia="仿宋_GB2312" w:cs="仿宋_GB2312"/>
      <w:color w:val="000000"/>
      <w:sz w:val="20"/>
      <w:szCs w:val="20"/>
      <w:u w:val="none"/>
    </w:rPr>
  </w:style>
  <w:style w:type="paragraph" w:customStyle="1" w:styleId="38">
    <w:name w:val="_Style 8"/>
    <w:basedOn w:val="1"/>
    <w:qFormat/>
    <w:uiPriority w:val="1"/>
    <w:pPr>
      <w:ind w:left="114" w:firstLine="640"/>
    </w:pPr>
    <w:rPr>
      <w:rFonts w:ascii="仿宋_GB2312" w:hAnsi="仿宋_GB2312" w:eastAsia="仿宋_GB2312" w:cs="仿宋_GB2312"/>
      <w:lang w:val="zh-CN" w:eastAsia="zh-CN" w:bidi="zh-CN"/>
    </w:rPr>
  </w:style>
  <w:style w:type="paragraph" w:customStyle="1" w:styleId="39">
    <w:name w:val="页眉或页脚 (2)"/>
    <w:basedOn w:val="1"/>
    <w:qFormat/>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paragraph" w:customStyle="1" w:styleId="40">
    <w:name w:val="列出段落1"/>
    <w:basedOn w:val="1"/>
    <w:qFormat/>
    <w:uiPriority w:val="0"/>
    <w:pPr>
      <w:ind w:firstLine="420" w:firstLineChars="200"/>
    </w:pPr>
    <w:rPr>
      <w:rFonts w:ascii="Calibri" w:hAnsi="Calibri" w:cs="Calibri"/>
      <w:szCs w:val="21"/>
    </w:rPr>
  </w:style>
  <w:style w:type="paragraph" w:styleId="4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561</Words>
  <Characters>95</Characters>
  <Lines>1</Lines>
  <Paragraphs>1</Paragraphs>
  <TotalTime>2</TotalTime>
  <ScaleCrop>false</ScaleCrop>
  <LinksUpToDate>false</LinksUpToDate>
  <CharactersWithSpaces>655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2021-04-15T15:14:00Z</dcterms:created>
  <dc:creator>Administrator</dc:creator>
  <cp:lastModifiedBy>cngw</cp:lastModifiedBy>
  <cp:lastPrinted>2022-03-01T01:04:00Z</cp:lastPrinted>
  <dcterms:modified xsi:type="dcterms:W3CDTF">2022-02-28T09:43:16Z</dcterms:modified>
  <dc:title>内部明电</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DB1EB3C80D6D4135B9CA6BA11571E3F4</vt:lpwstr>
  </property>
</Properties>
</file>